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622E" w:rsidR="0093622E" w:rsidP="003173F0" w:rsidRDefault="0093622E" w14:paraId="5AFEC97A" w14:textId="5D8C1BE9">
      <w:pPr>
        <w:pStyle w:val="Title"/>
        <w:ind w:right="2011"/>
      </w:pPr>
      <w:r>
        <w:t>Ten key principles for culturally competent support</w:t>
      </w:r>
    </w:p>
    <w:p w:rsidR="0093622E" w:rsidP="0093622E" w:rsidRDefault="0093622E" w14:paraId="7B84292E" w14:textId="77777777">
      <w:pPr>
        <w:pStyle w:val="Subtitle"/>
      </w:pPr>
      <w:r>
        <w:rPr/>
        <w:t>Source: Alliance for Youth Justice</w:t>
      </w:r>
    </w:p>
    <w:p w:rsidR="00163D89" w:rsidP="0093622E" w:rsidRDefault="0093622E" w14:paraId="182CBE14" w14:textId="77777777">
      <w:pPr>
        <w:pStyle w:val="Subtitle"/>
      </w:pPr>
      <w:r>
        <w:rPr/>
        <w:t>Guidance summary</w:t>
      </w:r>
    </w:p>
    <w:p w:rsidR="00C92C61" w:rsidP="0090228F" w:rsidRDefault="00C92C61" w14:paraId="0784BC31" w14:textId="77777777"/>
    <w:p w:rsidRPr="0094259B" w:rsidR="00C92C61" w:rsidP="0090228F" w:rsidRDefault="00C92C61" w14:paraId="0A345CC0" w14:textId="77777777">
      <w:pPr>
        <w:sectPr w:rsidRPr="0094259B" w:rsidR="00C92C61" w:rsidSect="005530F0">
          <w:headerReference w:type="default" r:id="rId11"/>
          <w:footerReference w:type="default" r:id="rId12"/>
          <w:headerReference w:type="first" r:id="rId13"/>
          <w:pgSz w:w="11906" w:h="16838" w:orient="portrait" w:code="9"/>
          <w:pgMar w:top="1701" w:right="680" w:bottom="1134" w:left="1985" w:header="397" w:footer="340" w:gutter="0"/>
          <w:cols w:space="708"/>
          <w:titlePg/>
          <w:docGrid w:linePitch="360"/>
        </w:sectPr>
      </w:pPr>
    </w:p>
    <w:p>
      <w:pPr>
        <w:pStyle w:val="Heading2"/>
        <w:spacing w:before="0" w:after="160"/>
      </w:pPr>
      <w:r>
        <w:t>Ten key principles for culturally competent support</w:t>
      </w:r>
    </w:p>
    <w:p>
      <w:pPr>
        <w:spacing w:before="120" w:after="120"/>
        <w:jc w:val="left"/>
      </w:pPr>
      <w:r>
        <w:drawing>
          <wp:inline xmlns:a="http://schemas.openxmlformats.org/drawingml/2006/main" xmlns:pic="http://schemas.openxmlformats.org/drawingml/2006/picture">
            <wp:extent cx="1737360" cy="13217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1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217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 w:before="80"/>
      </w:pPr>
      <w:r>
        <w:t xml:space="preserve">This summary is adapted from Alliance for Youth Justice’s report </w:t>
      </w:r>
      <w:hyperlink r:id="rId18">
        <w:r>
          <w:rPr>
            <w:color w:val="0563C1"/>
            <w:u w:val="single"/>
          </w:rPr>
          <w:t>Bridging gaps and changing tracks: Supporting racially minoritised young people in the transition to adulthood in the criminal justice system</w:t>
        </w:r>
      </w:hyperlink>
      <w:r>
        <w:t>. It is not a Henry Smith Foundation document or guidance.</w:t>
      </w:r>
    </w:p>
    <w:p>
      <w:pPr>
        <w:pStyle w:val="Heading3"/>
        <w:spacing w:before="200" w:after="60"/>
      </w:pPr>
      <w:r>
        <w:rPr/>
        <w:t>1. Developing Positive Identities</w:t>
      </w:r>
    </w:p>
    <w:p>
      <w:pPr>
        <w:pStyle w:val="ListBullet"/>
        <w:spacing w:before="0" w:after="40"/>
      </w:pPr>
      <w:r>
        <w:rPr/>
        <w:t>Take a strengths-based approach focused on empowerment, potential and opportunity.</w:t>
      </w:r>
    </w:p>
    <w:p>
      <w:pPr>
        <w:pStyle w:val="ListBullet"/>
        <w:spacing w:before="0" w:after="40"/>
      </w:pPr>
      <w:r>
        <w:rPr/>
        <w:t>Support the development of a pro-social identity, exploring identity-related issues.</w:t>
      </w:r>
    </w:p>
    <w:p>
      <w:pPr>
        <w:pStyle w:val="ListBullet"/>
        <w:spacing w:before="0" w:after="40"/>
      </w:pPr>
      <w:r>
        <w:rPr/>
        <w:t>Examine masculinity, vulnerability, mindfulness and reflection.</w:t>
      </w:r>
    </w:p>
    <w:p>
      <w:pPr>
        <w:pStyle w:val="Heading3"/>
        <w:spacing w:before="200" w:after="60"/>
      </w:pPr>
      <w:r>
        <w:rPr/>
        <w:t>2. Being Age-Appropriate</w:t>
      </w:r>
    </w:p>
    <w:p>
      <w:pPr>
        <w:pStyle w:val="ListBullet"/>
        <w:spacing w:before="0" w:after="40"/>
      </w:pPr>
      <w:r>
        <w:rPr/>
        <w:t>Provide developmentally appropriate support for older children and young adults.</w:t>
      </w:r>
    </w:p>
    <w:p>
      <w:pPr>
        <w:pStyle w:val="ListBullet"/>
        <w:spacing w:before="0" w:after="40"/>
      </w:pPr>
      <w:r>
        <w:rPr/>
        <w:t>Use a fluid approach looking at needs and capacity, not just age.</w:t>
      </w:r>
    </w:p>
    <w:p>
      <w:pPr>
        <w:pStyle w:val="ListBullet"/>
        <w:spacing w:before="0" w:after="40"/>
      </w:pPr>
      <w:r>
        <w:rPr/>
        <w:t>Recognise maturation continues into the 20s.</w:t>
      </w:r>
    </w:p>
    <w:p>
      <w:pPr>
        <w:pStyle w:val="Heading3"/>
        <w:spacing w:before="200" w:after="60"/>
      </w:pPr>
      <w:r>
        <w:rPr/>
        <w:t>3. Bridging Gaps</w:t>
      </w:r>
    </w:p>
    <w:p>
      <w:pPr>
        <w:pStyle w:val="ListBullet"/>
        <w:spacing w:before="0" w:after="40"/>
      </w:pPr>
      <w:r>
        <w:rPr/>
        <w:t>Support stays with the young person through transitions.</w:t>
      </w:r>
    </w:p>
    <w:p>
      <w:pPr>
        <w:pStyle w:val="ListBullet"/>
        <w:spacing w:before="0" w:after="40"/>
      </w:pPr>
      <w:r>
        <w:rPr/>
        <w:t>Build a strong, trusted long-term relationship.</w:t>
      </w:r>
    </w:p>
    <w:p>
      <w:pPr>
        <w:pStyle w:val="ListBullet"/>
        <w:spacing w:before="0" w:after="40"/>
      </w:pPr>
      <w:r>
        <w:rPr/>
        <w:t>Help young people navigate new systems and processes.</w:t>
      </w:r>
    </w:p>
    <w:p>
      <w:pPr>
        <w:pStyle w:val="Heading3"/>
        <w:spacing w:before="200" w:after="60"/>
      </w:pPr>
      <w:r>
        <w:rPr/>
        <w:t>4. Challenging Structural Barriers</w:t>
      </w:r>
    </w:p>
    <w:p>
      <w:pPr>
        <w:pStyle w:val="ListBullet"/>
        <w:spacing w:before="0" w:after="40"/>
      </w:pPr>
      <w:r>
        <w:rPr/>
        <w:t>Practitioners confidently talk about racism and structural barriers.</w:t>
      </w:r>
    </w:p>
    <w:p>
      <w:pPr>
        <w:pStyle w:val="ListBullet"/>
        <w:spacing w:before="0" w:after="40"/>
      </w:pPr>
      <w:r>
        <w:rPr/>
        <w:t>Understand institutional racism and intersectionality.</w:t>
      </w:r>
    </w:p>
    <w:p>
      <w:pPr>
        <w:pStyle w:val="ListBullet"/>
        <w:spacing w:before="0" w:after="40"/>
      </w:pPr>
      <w:r>
        <w:rPr/>
        <w:t>Challenge racial bias affecting young people's experiences.</w:t>
      </w:r>
    </w:p>
    <w:p>
      <w:pPr>
        <w:pStyle w:val="Heading3"/>
        <w:spacing w:before="200" w:after="60"/>
      </w:pPr>
      <w:r>
        <w:rPr/>
        <w:t>5. Being Relatable</w:t>
      </w:r>
    </w:p>
    <w:p>
      <w:pPr>
        <w:pStyle w:val="ListBullet"/>
        <w:spacing w:before="0" w:after="40"/>
      </w:pPr>
      <w:r>
        <w:rPr/>
        <w:t>Young people relate to practitioners they find credible and relevant.</w:t>
      </w:r>
    </w:p>
    <w:p>
      <w:pPr>
        <w:pStyle w:val="ListBullet"/>
        <w:spacing w:before="0" w:after="40"/>
      </w:pPr>
      <w:r>
        <w:rPr/>
        <w:t>Lived experience can deepen understanding.</w:t>
      </w:r>
    </w:p>
    <w:p>
      <w:pPr>
        <w:pStyle w:val="ListBullet"/>
        <w:spacing w:before="0" w:after="40"/>
      </w:pPr>
      <w:r>
        <w:rPr/>
        <w:t>Race can matter, but authenticity and motivation matter most.</w:t>
      </w:r>
    </w:p>
    <w:p>
      <w:pPr>
        <w:pStyle w:val="Heading3"/>
        <w:spacing w:before="200" w:after="60"/>
      </w:pPr>
      <w:r>
        <w:rPr/>
        <w:t>6. Being Passionate</w:t>
      </w:r>
    </w:p>
    <w:p>
      <w:pPr>
        <w:pStyle w:val="ListBullet"/>
        <w:spacing w:before="0" w:after="40"/>
      </w:pPr>
      <w:r>
        <w:rPr/>
        <w:t>Young people value genuine care and interest.</w:t>
      </w:r>
    </w:p>
    <w:p>
      <w:pPr>
        <w:pStyle w:val="ListBullet"/>
        <w:spacing w:before="0" w:after="40"/>
      </w:pPr>
      <w:r>
        <w:rPr/>
        <w:t>Practitioners should be passionate about this age group.</w:t>
      </w:r>
    </w:p>
    <w:p>
      <w:pPr>
        <w:pStyle w:val="Heading3"/>
        <w:spacing w:before="200" w:after="60"/>
      </w:pPr>
      <w:r>
        <w:rPr/>
        <w:t>7. Being Community-Based</w:t>
      </w:r>
    </w:p>
    <w:p>
      <w:pPr>
        <w:pStyle w:val="ListBullet"/>
        <w:spacing w:before="0" w:after="40"/>
      </w:pPr>
      <w:r>
        <w:rPr/>
        <w:t>Support is local and community-rooted.</w:t>
      </w:r>
    </w:p>
    <w:p>
      <w:pPr>
        <w:pStyle w:val="ListBullet"/>
        <w:spacing w:before="0" w:after="40"/>
      </w:pPr>
      <w:r>
        <w:rPr/>
        <w:t>Practitioners understand local issues and assets.</w:t>
      </w:r>
    </w:p>
    <w:p>
      <w:pPr>
        <w:pStyle w:val="ListBullet"/>
        <w:spacing w:before="0" w:after="40"/>
      </w:pPr>
      <w:r>
        <w:rPr/>
        <w:t>Meet young people where they are.</w:t>
      </w:r>
    </w:p>
    <w:p>
      <w:pPr>
        <w:pStyle w:val="Heading3"/>
        <w:spacing w:before="200" w:after="60"/>
      </w:pPr>
      <w:r>
        <w:rPr/>
        <w:t>8. Meeting Specific Needs</w:t>
      </w:r>
    </w:p>
    <w:p>
      <w:pPr>
        <w:pStyle w:val="ListBullet"/>
        <w:spacing w:before="0" w:after="40"/>
      </w:pPr>
      <w:r>
        <w:rPr/>
        <w:t>Identify and address vulnerabilities in racially minoritised young people.</w:t>
      </w:r>
    </w:p>
    <w:p>
      <w:pPr>
        <w:pStyle w:val="ListBullet"/>
        <w:spacing w:before="0" w:after="40"/>
      </w:pPr>
      <w:r>
        <w:rPr/>
        <w:t>Provide multi-agency support, including speech and language therapy and mental health.</w:t>
      </w:r>
    </w:p>
    <w:p>
      <w:pPr>
        <w:pStyle w:val="ListBullet"/>
        <w:spacing w:before="0" w:after="40"/>
      </w:pPr>
      <w:r>
        <w:rPr/>
        <w:t>Address housing, financial instability, exploitation, and re-engagement.</w:t>
      </w:r>
    </w:p>
    <w:p>
      <w:pPr>
        <w:pStyle w:val="Heading3"/>
        <w:spacing w:before="200" w:after="60"/>
      </w:pPr>
      <w:r>
        <w:rPr/>
        <w:t>9. Hearing and Standing Up for Young People</w:t>
      </w:r>
    </w:p>
    <w:p>
      <w:pPr>
        <w:pStyle w:val="ListBullet"/>
        <w:spacing w:before="0" w:after="40"/>
      </w:pPr>
      <w:r>
        <w:rPr/>
        <w:t>Co-create support with young people.</w:t>
      </w:r>
    </w:p>
    <w:p>
      <w:pPr>
        <w:pStyle w:val="ListBullet"/>
        <w:spacing w:before="0" w:after="40"/>
      </w:pPr>
      <w:r>
        <w:rPr/>
        <w:t>Embed their experiences into policy and practice.</w:t>
      </w:r>
    </w:p>
    <w:p>
      <w:pPr>
        <w:pStyle w:val="ListBullet"/>
        <w:spacing w:before="0" w:after="40"/>
      </w:pPr>
      <w:r>
        <w:rPr/>
        <w:t>Advocate for their rights and needs.</w:t>
      </w:r>
    </w:p>
    <w:p>
      <w:pPr>
        <w:pStyle w:val="Heading3"/>
        <w:spacing w:before="200" w:after="60"/>
      </w:pPr>
      <w:r>
        <w:rPr/>
        <w:t>10. Being Non-Authoritarian and Independent</w:t>
      </w:r>
    </w:p>
    <w:p>
      <w:pPr>
        <w:pStyle w:val="ListBullet"/>
        <w:spacing w:before="0" w:after="40"/>
      </w:pPr>
      <w:r>
        <w:rPr/>
        <w:t>Support feels independent from systems that have failed them.</w:t>
      </w:r>
    </w:p>
    <w:p>
      <w:pPr>
        <w:pStyle w:val="ListBullet"/>
        <w:spacing w:before="0" w:after="40"/>
      </w:pPr>
      <w:r>
        <w:rPr/>
        <w:t>Avoid directive, authoritarian approaches.</w:t>
      </w:r>
    </w:p>
    <w:p>
      <w:pPr>
        <w:pStyle w:val="ListBullet"/>
        <w:spacing w:before="0" w:after="40"/>
      </w:pPr>
      <w:r>
        <w:rPr/>
        <w:t>Build trust through openness and respect.</w:t>
      </w:r>
    </w:p>
    <w:p/>
    <w:sectPr w:rsidRPr="00B62254" w:rsidR="00081994" w:rsidSect="005530F0">
      <w:headerReference w:type="first" r:id="rId14"/>
      <w:footerReference w:type="first" r:id="rId15"/>
      <w:pgSz w:w="11906" w:h="16838" w:orient="portrait" w:code="9"/>
      <w:pgMar w:top="2268" w:right="680" w:bottom="1134" w:left="1985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781" w:rsidP="0090228F" w:rsidRDefault="00A23781" w14:paraId="6B022891" w14:textId="77777777">
      <w:r>
        <w:separator/>
      </w:r>
    </w:p>
  </w:endnote>
  <w:endnote w:type="continuationSeparator" w:id="0">
    <w:p w:rsidR="00A23781" w:rsidP="0090228F" w:rsidRDefault="00A23781" w14:paraId="13005F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Light">
    <w:panose1 w:val="020004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6"/>
      <w:gridCol w:w="1868"/>
    </w:tblGrid>
    <w:tr w:rsidRPr="0094259B" w:rsidR="00E82328" w:rsidTr="00092E2F" w14:paraId="111FFF16" w14:textId="77777777">
      <w:trPr>
        <w:trHeight w:val="454" w:hRule="exact"/>
      </w:trPr>
      <w:tc>
        <w:tcPr>
          <w:tcW w:w="7366" w:type="dxa"/>
          <w:vAlign w:val="bottom"/>
        </w:tcPr>
        <w:p>
          <w:pPr>
            <w:pStyle w:val="Footer"/>
          </w:pPr>
          <w:r>
            <w:t xml:space="preserve">Ten key principles for culturally competent support </w:t>
          </w:r>
        </w:p>
      </w:tc>
      <w:tc>
        <w:tcPr>
          <w:tcW w:w="1868" w:type="dxa"/>
          <w:vAlign w:val="bottom"/>
        </w:tcPr>
        <w:p>
          <w:pPr>
            <w:pStyle w:val="Footer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Pr="00E82328" w:rsidR="00E82328" w:rsidP="00E82328" w:rsidRDefault="00E82328" w14:paraId="1389A8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6"/>
      <w:gridCol w:w="1868"/>
    </w:tblGrid>
    <w:tr w:rsidRPr="0094259B" w:rsidR="00DE406E" w:rsidTr="003173F0" w14:paraId="1DA2ECF6" w14:textId="77777777">
      <w:trPr>
        <w:trHeight w:val="454" w:hRule="exact"/>
      </w:trPr>
      <w:tc>
        <w:tcPr>
          <w:tcW w:w="7366" w:type="dxa"/>
          <w:vAlign w:val="bottom"/>
        </w:tcPr>
        <w:p>
          <w:pPr>
            <w:pStyle w:val="Footer"/>
          </w:pPr>
          <w:r>
            <w:t xml:space="preserve">Ten key principles for culturally competent support </w:t>
          </w:r>
        </w:p>
      </w:tc>
      <w:tc>
        <w:tcPr>
          <w:tcW w:w="1868" w:type="dxa"/>
          <w:vAlign w:val="bottom"/>
        </w:tcPr>
        <w:p>
          <w:pPr>
            <w:pStyle w:val="Footer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="00DE406E" w:rsidP="003173F0" w:rsidRDefault="00DE406E" w14:paraId="0E695C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781" w:rsidP="0090228F" w:rsidRDefault="00A23781" w14:paraId="7C17BB51" w14:textId="77777777">
      <w:r>
        <w:separator/>
      </w:r>
    </w:p>
  </w:footnote>
  <w:footnote w:type="continuationSeparator" w:id="0">
    <w:p w:rsidR="00A23781" w:rsidP="0090228F" w:rsidRDefault="00A23781" w14:paraId="254691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81994" w:rsidR="00081994" w:rsidP="00081994" w:rsidRDefault="00081994" w14:paraId="457B87E4" w14:textId="77777777">
    <w:pPr>
      <w:pStyle w:val="Header"/>
    </w:pPr>
    <w:r>
      <w:rPr>
        <w:noProof/>
      </w:rPr>
      <w:drawing>
        <wp:anchor distT="0" distB="0" distL="114300" distR="114300" simplePos="0" relativeHeight="251664384" behindDoc="0" locked="1" layoutInCell="1" allowOverlap="1" wp14:anchorId="7C68B588" wp14:editId="5809296D">
          <wp:simplePos x="0" y="0"/>
          <wp:positionH relativeFrom="page">
            <wp:posOffset>5292725</wp:posOffset>
          </wp:positionH>
          <wp:positionV relativeFrom="page">
            <wp:posOffset>428625</wp:posOffset>
          </wp:positionV>
          <wp:extent cx="1843200" cy="532800"/>
          <wp:effectExtent l="0" t="0" r="5080" b="635"/>
          <wp:wrapNone/>
          <wp:docPr id="1962499429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26"/>
    </w:tblGrid>
    <w:tr w:rsidR="0094259B" w:rsidTr="0093622E" w14:paraId="66A26995" w14:textId="77777777">
      <w:trPr>
        <w:trHeight w:val="4252" w:hRule="exact"/>
      </w:trPr>
      <w:tc>
        <w:tcPr>
          <w:tcW w:w="7926" w:type="dxa"/>
        </w:tcPr>
        <w:p w:rsidR="0094259B" w:rsidP="0090228F" w:rsidRDefault="0094259B" w14:paraId="534DB194" w14:textId="77777777">
          <w:pPr>
            <w:pStyle w:val="Header"/>
          </w:pPr>
        </w:p>
      </w:tc>
    </w:tr>
  </w:tbl>
  <w:p w:rsidR="00B11CBF" w:rsidP="0090228F" w:rsidRDefault="00C63E2F" w14:paraId="7FB96BC4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728720B9" wp14:editId="44FF4926">
              <wp:simplePos x="0" y="0"/>
              <wp:positionH relativeFrom="page">
                <wp:posOffset>1127125</wp:posOffset>
              </wp:positionH>
              <wp:positionV relativeFrom="page">
                <wp:posOffset>2844165</wp:posOffset>
              </wp:positionV>
              <wp:extent cx="5986800" cy="7426800"/>
              <wp:effectExtent l="0" t="0" r="0" b="3175"/>
              <wp:wrapNone/>
              <wp:docPr id="1309642178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6800" cy="7426800"/>
                      </a:xfrm>
                      <a:prstGeom prst="roundRect">
                        <a:avLst>
                          <a:gd name="adj" fmla="val 2274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: Rounded Corners 4" style="position:absolute;margin-left:88.75pt;margin-top:223.95pt;width:471.4pt;height:584.8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a8fba [3205]" stroked="f" strokeweight="1pt" arcsize="1490f" w14:anchorId="42B331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">
              <v:stroke joinstyle="miter"/>
              <w10:wrap anchorx="page" anchory="page"/>
              <w10:anchorlock/>
            </v:roundrect>
          </w:pict>
        </mc:Fallback>
      </mc:AlternateContent>
    </w:r>
    <w:r w:rsidR="00C92C61">
      <w:rPr>
        <w:noProof/>
      </w:rPr>
      <w:drawing>
        <wp:anchor distT="0" distB="0" distL="114300" distR="114300" simplePos="0" relativeHeight="251660288" behindDoc="0" locked="1" layoutInCell="1" allowOverlap="1" wp14:anchorId="10A61F08" wp14:editId="500142C8">
          <wp:simplePos x="0" y="0"/>
          <wp:positionH relativeFrom="page">
            <wp:posOffset>5292090</wp:posOffset>
          </wp:positionH>
          <wp:positionV relativeFrom="page">
            <wp:posOffset>427355</wp:posOffset>
          </wp:positionV>
          <wp:extent cx="1842770" cy="532765"/>
          <wp:effectExtent l="0" t="0" r="5080" b="635"/>
          <wp:wrapNone/>
          <wp:docPr id="239527461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4259B" w:rsidP="0090228F" w:rsidRDefault="005530F0" w14:paraId="44AAB37A" w14:textId="77777777">
    <w:pPr>
      <w:pStyle w:val="Header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6BDA6E" wp14:editId="53A79DC1">
          <wp:simplePos x="0" y="0"/>
          <wp:positionH relativeFrom="page">
            <wp:posOffset>5292725</wp:posOffset>
          </wp:positionH>
          <wp:positionV relativeFrom="page">
            <wp:posOffset>428625</wp:posOffset>
          </wp:positionV>
          <wp:extent cx="1843200" cy="532800"/>
          <wp:effectExtent l="0" t="0" r="5080" b="635"/>
          <wp:wrapNone/>
          <wp:docPr id="896123326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C249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8C08A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12904E39"/>
    <w:multiLevelType w:val="hybridMultilevel"/>
    <w:tmpl w:val="A874F53C"/>
    <w:lvl w:ilvl="0" w:tplc="2CC281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1072DE"/>
    <w:multiLevelType w:val="hybridMultilevel"/>
    <w:tmpl w:val="24CE42AA"/>
    <w:lvl w:ilvl="0" w:tplc="C2F6EB32">
      <w:start w:val="1"/>
      <w:numFmt w:val="bullet"/>
      <w:lvlText w:val="-"/>
      <w:lvlJc w:val="left"/>
      <w:pPr>
        <w:ind w:left="643" w:hanging="360"/>
      </w:pPr>
      <w:rPr>
        <w:rFonts w:hint="default" w:ascii="Symbol" w:hAnsi="Symbol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4" w15:restartNumberingAfterBreak="0">
    <w:nsid w:val="4A29403B"/>
    <w:multiLevelType w:val="hybridMultilevel"/>
    <w:tmpl w:val="34FCFDEE"/>
    <w:lvl w:ilvl="0" w:tplc="E1C0FF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1C40F4"/>
    <w:multiLevelType w:val="hybridMultilevel"/>
    <w:tmpl w:val="9702ACB6"/>
    <w:lvl w:ilvl="0" w:tplc="A66C2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0724B2"/>
    <w:multiLevelType w:val="multilevel"/>
    <w:tmpl w:val="18944D6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60" w:hanging="360"/>
      </w:pPr>
      <w:rPr>
        <w:rFonts w:hint="default" w:ascii="Symbol" w:hAnsi="Symbol"/>
        <w:b w:val="0"/>
        <w:i w:val="0"/>
        <w:color w:val="auto"/>
        <w:sz w:val="1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680" w:hanging="283"/>
      </w:pPr>
      <w:rPr>
        <w:rFonts w:hint="default" w:ascii="Inter Light" w:hAnsi="Inter Ligh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CE5AC7"/>
    <w:multiLevelType w:val="multilevel"/>
    <w:tmpl w:val="1B96B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  <w:sz w:val="1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hint="default" w:ascii="Inter Light" w:hAnsi="Inter Ligh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1003048">
    <w:abstractNumId w:val="1"/>
  </w:num>
  <w:num w:numId="2" w16cid:durableId="68844050">
    <w:abstractNumId w:val="5"/>
  </w:num>
  <w:num w:numId="3" w16cid:durableId="954676308">
    <w:abstractNumId w:val="2"/>
  </w:num>
  <w:num w:numId="4" w16cid:durableId="1822502620">
    <w:abstractNumId w:val="6"/>
  </w:num>
  <w:num w:numId="5" w16cid:durableId="1048072335">
    <w:abstractNumId w:val="0"/>
  </w:num>
  <w:num w:numId="6" w16cid:durableId="327755872">
    <w:abstractNumId w:val="3"/>
  </w:num>
  <w:num w:numId="7" w16cid:durableId="1586375105">
    <w:abstractNumId w:val="4"/>
  </w:num>
  <w:num w:numId="8" w16cid:durableId="793183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7517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6A"/>
    <w:rsid w:val="00061763"/>
    <w:rsid w:val="00081994"/>
    <w:rsid w:val="000834E6"/>
    <w:rsid w:val="0009287E"/>
    <w:rsid w:val="000C7F4D"/>
    <w:rsid w:val="000E3706"/>
    <w:rsid w:val="000E412A"/>
    <w:rsid w:val="000F1EEE"/>
    <w:rsid w:val="0012596B"/>
    <w:rsid w:val="00163D89"/>
    <w:rsid w:val="001A7915"/>
    <w:rsid w:val="001D0202"/>
    <w:rsid w:val="001E1F49"/>
    <w:rsid w:val="002C1161"/>
    <w:rsid w:val="002E039C"/>
    <w:rsid w:val="00304762"/>
    <w:rsid w:val="003173F0"/>
    <w:rsid w:val="003978A5"/>
    <w:rsid w:val="00417551"/>
    <w:rsid w:val="005530F0"/>
    <w:rsid w:val="00627759"/>
    <w:rsid w:val="006A282D"/>
    <w:rsid w:val="006C43FC"/>
    <w:rsid w:val="006D17EF"/>
    <w:rsid w:val="008B356F"/>
    <w:rsid w:val="008D4E4C"/>
    <w:rsid w:val="008E3267"/>
    <w:rsid w:val="008F5690"/>
    <w:rsid w:val="0090228F"/>
    <w:rsid w:val="0093622E"/>
    <w:rsid w:val="0094259B"/>
    <w:rsid w:val="009C7D8C"/>
    <w:rsid w:val="00A23781"/>
    <w:rsid w:val="00A83694"/>
    <w:rsid w:val="00B11CBF"/>
    <w:rsid w:val="00B62254"/>
    <w:rsid w:val="00BB6250"/>
    <w:rsid w:val="00C63E2F"/>
    <w:rsid w:val="00C92C61"/>
    <w:rsid w:val="00CB0D1A"/>
    <w:rsid w:val="00D13480"/>
    <w:rsid w:val="00D33059"/>
    <w:rsid w:val="00D70F06"/>
    <w:rsid w:val="00DC716A"/>
    <w:rsid w:val="00DE406E"/>
    <w:rsid w:val="00E1002F"/>
    <w:rsid w:val="00E65727"/>
    <w:rsid w:val="00E82328"/>
    <w:rsid w:val="00F055DE"/>
    <w:rsid w:val="00F57B88"/>
    <w:rsid w:val="00F57C1B"/>
    <w:rsid w:val="3D01E748"/>
    <w:rsid w:val="4241C884"/>
    <w:rsid w:val="57CD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AB7CC"/>
  <w15:chartTrackingRefBased/>
  <w15:docId w15:val="{9B91475A-3AD9-4EA1-ADFA-38BE73CD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/>
    <w:lsdException w:name="Emphasis" w:uiPriority="20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/>
    <w:lsdException w:name="Subtle Reference" w:uiPriority="31" w:semiHidden="1"/>
    <w:lsdException w:name="Intense Reference" w:uiPriority="32"/>
    <w:lsdException w:name="Book Title" w:uiPriority="33" w:semiHidden="1"/>
    <w:lsdException w:name="Bibliography" w:uiPriority="37" w:semiHidden="1" w:unhideWhenUsed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F57C1B"/>
    <w:pPr>
      <w:spacing w:after="0" w:line="320" w:lineRule="atLeast"/>
    </w:pPr>
    <w:rPr>
      <w:rFonts w:ascii="Inter" w:hAnsi="Inter"/>
      <w:sz w:val="21"/>
    </w:rPr>
  </w:style>
  <w:style w:type="paragraph" w:styleId="Heading1">
    <w:name w:val="heading 1"/>
    <w:basedOn w:val="Title"/>
    <w:next w:val="Normal"/>
    <w:link w:val="Heading1Char"/>
    <w:uiPriority w:val="9"/>
    <w:qFormat/>
    <w:rsid w:val="005530F0"/>
    <w:pPr>
      <w:spacing w:after="360" w:line="320" w:lineRule="atLeast"/>
      <w:ind w:left="0"/>
      <w:outlineLvl w:val="0"/>
    </w:pPr>
    <w:rPr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1763"/>
    <w:pPr>
      <w:spacing w:before="940" w:after="16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694"/>
    <w:pPr>
      <w:outlineLvl w:val="2"/>
    </w:pPr>
    <w:rPr>
      <w:rFonts w:asciiTheme="majorHAnsi" w:hAnsiTheme="majorHAnsi"/>
      <w:b/>
      <w:bCs/>
      <w:color w:val="6B2E36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B1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22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11CBF"/>
    <w:pPr>
      <w:keepNext/>
      <w:keepLines/>
      <w:spacing w:before="80" w:after="40"/>
      <w:outlineLvl w:val="4"/>
    </w:pPr>
    <w:rPr>
      <w:rFonts w:eastAsiaTheme="majorEastAsia" w:cstheme="majorBidi"/>
      <w:color w:val="4F22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11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11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11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11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30F0"/>
    <w:rPr>
      <w:rFonts w:ascii="Inter" w:hAnsi="Inter" w:eastAsiaTheme="majorEastAsia" w:cstheme="majorBidi"/>
      <w:b/>
      <w:bCs/>
      <w:color w:val="6B2E36" w:themeColor="text2"/>
      <w:kern w:val="28"/>
      <w:sz w:val="28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061763"/>
    <w:rPr>
      <w:rFonts w:ascii="Inter" w:hAnsi="Inter" w:eastAsiaTheme="majorEastAsia" w:cstheme="majorBidi"/>
      <w:b/>
      <w:bCs/>
      <w:color w:val="6B2E36" w:themeColor="text2"/>
      <w:kern w:val="28"/>
      <w:sz w:val="28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9C7D8C"/>
    <w:rPr>
      <w:rFonts w:asciiTheme="majorHAnsi" w:hAnsiTheme="majorHAnsi"/>
      <w:b/>
      <w:bCs/>
      <w:color w:val="6B2E36" w:themeColor="text2"/>
      <w:sz w:val="2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7C1B"/>
    <w:rPr>
      <w:rFonts w:ascii="Inter" w:hAnsi="Inter" w:eastAsiaTheme="majorEastAsia" w:cstheme="majorBidi"/>
      <w:i/>
      <w:iCs/>
      <w:color w:val="4F2228" w:themeColor="accent1" w:themeShade="BF"/>
      <w:sz w:val="2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7C1B"/>
    <w:rPr>
      <w:rFonts w:ascii="Inter" w:hAnsi="Inter" w:eastAsiaTheme="majorEastAsia" w:cstheme="majorBidi"/>
      <w:color w:val="4F2228" w:themeColor="accent1" w:themeShade="BF"/>
      <w:sz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7C1B"/>
    <w:rPr>
      <w:rFonts w:ascii="Inter" w:hAnsi="Inter" w:eastAsiaTheme="majorEastAsia" w:cstheme="majorBidi"/>
      <w:i/>
      <w:iCs/>
      <w:color w:val="595959" w:themeColor="text1" w:themeTint="A6"/>
      <w:sz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7C1B"/>
    <w:rPr>
      <w:rFonts w:ascii="Inter" w:hAnsi="Inter" w:eastAsiaTheme="majorEastAsia" w:cstheme="majorBidi"/>
      <w:color w:val="595959" w:themeColor="text1" w:themeTint="A6"/>
      <w:sz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7C1B"/>
    <w:rPr>
      <w:rFonts w:ascii="Inter" w:hAnsi="Inter" w:eastAsiaTheme="majorEastAsia" w:cstheme="majorBidi"/>
      <w:i/>
      <w:iCs/>
      <w:color w:val="272727" w:themeColor="text1" w:themeTint="D8"/>
      <w:sz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7C1B"/>
    <w:rPr>
      <w:rFonts w:ascii="Inter" w:hAnsi="Inter" w:eastAsiaTheme="majorEastAsia" w:cstheme="majorBidi"/>
      <w:color w:val="272727" w:themeColor="text1" w:themeTint="D8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3622E"/>
    <w:pPr>
      <w:spacing w:line="720" w:lineRule="exact"/>
      <w:ind w:left="113"/>
      <w:contextualSpacing/>
    </w:pPr>
    <w:rPr>
      <w:rFonts w:eastAsiaTheme="majorEastAsia" w:cstheme="majorBidi"/>
      <w:b/>
      <w:bCs/>
      <w:color w:val="6B2E36" w:themeColor="text2"/>
      <w:kern w:val="28"/>
      <w:sz w:val="6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622E"/>
    <w:rPr>
      <w:rFonts w:ascii="Inter" w:hAnsi="Inter" w:eastAsiaTheme="majorEastAsia" w:cstheme="majorBidi"/>
      <w:b/>
      <w:bCs/>
      <w:color w:val="6B2E36" w:themeColor="text2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694"/>
    <w:pPr>
      <w:spacing w:before="360"/>
      <w:ind w:left="113"/>
      <w:contextualSpacing/>
    </w:pPr>
    <w:rPr>
      <w:rFonts w:asciiTheme="majorHAnsi" w:hAnsiTheme="majorHAnsi"/>
      <w:b/>
      <w:bCs/>
      <w:color w:val="6B2E36" w:themeColor="text2"/>
    </w:rPr>
  </w:style>
  <w:style w:type="character" w:styleId="SubtitleChar" w:customStyle="1">
    <w:name w:val="Subtitle Char"/>
    <w:basedOn w:val="DefaultParagraphFont"/>
    <w:link w:val="Subtitle"/>
    <w:uiPriority w:val="11"/>
    <w:rsid w:val="00F57C1B"/>
    <w:rPr>
      <w:rFonts w:asciiTheme="majorHAnsi" w:hAnsiTheme="majorHAnsi"/>
      <w:b/>
      <w:bCs/>
      <w:color w:val="6B2E36" w:themeColor="text2"/>
      <w:sz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11C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F57C1B"/>
    <w:rPr>
      <w:rFonts w:ascii="Inter" w:hAnsi="Inter"/>
      <w:i/>
      <w:iCs/>
      <w:color w:val="404040" w:themeColor="text1" w:themeTint="BF"/>
      <w:sz w:val="21"/>
    </w:rPr>
  </w:style>
  <w:style w:type="paragraph" w:styleId="ListParagraph">
    <w:name w:val="List Paragraph"/>
    <w:basedOn w:val="Normal"/>
    <w:uiPriority w:val="34"/>
    <w:semiHidden/>
    <w:rsid w:val="00B11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B11CBF"/>
    <w:rPr>
      <w:i/>
      <w:iCs/>
      <w:color w:val="4F22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11CBF"/>
    <w:pPr>
      <w:pBdr>
        <w:top w:val="single" w:color="4F2228" w:themeColor="accent1" w:themeShade="BF" w:sz="4" w:space="10"/>
        <w:bottom w:val="single" w:color="4F2228" w:themeColor="accent1" w:themeShade="BF" w:sz="4" w:space="10"/>
      </w:pBdr>
      <w:spacing w:before="360" w:after="360"/>
      <w:ind w:left="864" w:right="864"/>
      <w:jc w:val="center"/>
    </w:pPr>
    <w:rPr>
      <w:i/>
      <w:iCs/>
      <w:color w:val="4F222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57C1B"/>
    <w:rPr>
      <w:rFonts w:ascii="Inter" w:hAnsi="Inter"/>
      <w:i/>
      <w:iCs/>
      <w:color w:val="4F2228" w:themeColor="accent1" w:themeShade="BF"/>
      <w:sz w:val="21"/>
    </w:rPr>
  </w:style>
  <w:style w:type="character" w:styleId="IntenseReference">
    <w:name w:val="Intense Reference"/>
    <w:basedOn w:val="DefaultParagraphFont"/>
    <w:uiPriority w:val="32"/>
    <w:semiHidden/>
    <w:rsid w:val="00B11CBF"/>
    <w:rPr>
      <w:b/>
      <w:bCs/>
      <w:smallCaps/>
      <w:color w:val="4F22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CB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1CBF"/>
  </w:style>
  <w:style w:type="paragraph" w:styleId="Footer">
    <w:name w:val="footer"/>
    <w:basedOn w:val="Normal"/>
    <w:link w:val="FooterChar"/>
    <w:uiPriority w:val="99"/>
    <w:unhideWhenUsed/>
    <w:rsid w:val="0012596B"/>
    <w:pPr>
      <w:tabs>
        <w:tab w:val="center" w:pos="4513"/>
        <w:tab w:val="right" w:pos="9026"/>
      </w:tabs>
      <w:spacing w:line="200" w:lineRule="atLeast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12596B"/>
    <w:rPr>
      <w:rFonts w:ascii="Inter" w:hAnsi="Inter"/>
      <w:sz w:val="16"/>
    </w:rPr>
  </w:style>
  <w:style w:type="table" w:styleId="TableGrid">
    <w:name w:val="Table Grid"/>
    <w:basedOn w:val="TableNormal"/>
    <w:uiPriority w:val="39"/>
    <w:rsid w:val="009425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uiPriority w:val="99"/>
    <w:qFormat/>
    <w:rsid w:val="00061763"/>
    <w:pPr>
      <w:numPr>
        <w:numId w:val="4"/>
      </w:numPr>
      <w:pBdr>
        <w:bottom w:val="single" w:color="auto" w:sz="2" w:space="5"/>
        <w:between w:val="single" w:color="auto" w:sz="2" w:space="5"/>
      </w:pBdr>
      <w:spacing w:after="120"/>
      <w:ind w:right="28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915"/>
    <w:pPr>
      <w:tabs>
        <w:tab w:val="left" w:pos="709"/>
      </w:tabs>
      <w:spacing w:line="240" w:lineRule="atLeast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1A7915"/>
    <w:rPr>
      <w:rFonts w:ascii="Inter" w:hAnsi="Inter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F055DE"/>
    <w:rPr>
      <w:vertAlign w:val="superscript"/>
    </w:rPr>
  </w:style>
  <w:style w:type="paragraph" w:styleId="ListBullet2">
    <w:name w:val="List Bullet 2"/>
    <w:basedOn w:val="ListBullet"/>
    <w:uiPriority w:val="99"/>
    <w:qFormat/>
    <w:rsid w:val="003173F0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18" Type="http://schemas.openxmlformats.org/officeDocument/2006/relationships/hyperlink" Target="https://www.ayj.org.uk/news-content/bridging-gaps-and-changing-tracks-publication" TargetMode="External"/><Relationship Id="rId19" Type="http://schemas.openxmlformats.org/officeDocument/2006/relationships/image" Target="media/image2.jp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SF Theme Colours">
      <a:dk1>
        <a:sysClr val="windowText" lastClr="000000"/>
      </a:dk1>
      <a:lt1>
        <a:sysClr val="window" lastClr="FFFFFF"/>
      </a:lt1>
      <a:dk2>
        <a:srgbClr val="6B2E36"/>
      </a:dk2>
      <a:lt2>
        <a:srgbClr val="FFDEDE"/>
      </a:lt2>
      <a:accent1>
        <a:srgbClr val="6B2E36"/>
      </a:accent1>
      <a:accent2>
        <a:srgbClr val="FA8FBA"/>
      </a:accent2>
      <a:accent3>
        <a:srgbClr val="F6ACC9"/>
      </a:accent3>
      <a:accent4>
        <a:srgbClr val="FAC3D8"/>
      </a:accent4>
      <a:accent5>
        <a:srgbClr val="FFDEDE"/>
      </a:accent5>
      <a:accent6>
        <a:srgbClr val="4E2227"/>
      </a:accent6>
      <a:hlink>
        <a:srgbClr val="000000"/>
      </a:hlink>
      <a:folHlink>
        <a:srgbClr val="F6ACC9"/>
      </a:folHlink>
    </a:clrScheme>
    <a:fontScheme name="HSF Theme Fonts">
      <a:majorFont>
        <a:latin typeface="Inter"/>
        <a:ea typeface=""/>
        <a:cs typeface=""/>
      </a:majorFont>
      <a:minorFont>
        <a:latin typeface="Int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0d4ff-ca96-4908-8f70-13f932d5c844">
      <Terms xmlns="http://schemas.microsoft.com/office/infopath/2007/PartnerControls"/>
    </lcf76f155ced4ddcb4097134ff3c332f>
    <TaxCatchAll xmlns="f80f4ed8-aeff-4c1a-ae03-cbaae7025f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38BDE07EFE44ABF60A2B81A281190" ma:contentTypeVersion="18" ma:contentTypeDescription="Create a new document." ma:contentTypeScope="" ma:versionID="db0de9b79cc5d5fc204202b312f14236">
  <xsd:schema xmlns:xsd="http://www.w3.org/2001/XMLSchema" xmlns:xs="http://www.w3.org/2001/XMLSchema" xmlns:p="http://schemas.microsoft.com/office/2006/metadata/properties" xmlns:ns2="9460d4ff-ca96-4908-8f70-13f932d5c844" xmlns:ns3="c26a6394-80f8-430b-b64f-1f333e8d56ff" xmlns:ns4="f80f4ed8-aeff-4c1a-ae03-cbaae7025f94" targetNamespace="http://schemas.microsoft.com/office/2006/metadata/properties" ma:root="true" ma:fieldsID="042bdfa3c59cb15dd7209702b75576de" ns2:_="" ns3:_="" ns4:_="">
    <xsd:import namespace="9460d4ff-ca96-4908-8f70-13f932d5c844"/>
    <xsd:import namespace="c26a6394-80f8-430b-b64f-1f333e8d56ff"/>
    <xsd:import namespace="f80f4ed8-aeff-4c1a-ae03-cbaae7025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0d4ff-ca96-4908-8f70-13f932d5c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507b78-20fd-4353-b131-b1f93793f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a6394-80f8-430b-b64f-1f333e8d5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4ed8-aeff-4c1a-ae03-cbaae7025f9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d0862ba-b4e0-484d-b9ed-54a82b92362f}" ma:internalName="TaxCatchAll" ma:showField="CatchAllData" ma:web="f80f4ed8-aeff-4c1a-ae03-cbaae7025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09DDF-6F29-4381-922F-37280C141B3E}">
  <ds:schemaRefs>
    <ds:schemaRef ds:uri="http://schemas.microsoft.com/office/2006/metadata/properties"/>
    <ds:schemaRef ds:uri="http://schemas.microsoft.com/office/infopath/2007/PartnerControls"/>
    <ds:schemaRef ds:uri="9460d4ff-ca96-4908-8f70-13f932d5c844"/>
    <ds:schemaRef ds:uri="f80f4ed8-aeff-4c1a-ae03-cbaae7025f94"/>
  </ds:schemaRefs>
</ds:datastoreItem>
</file>

<file path=customXml/itemProps2.xml><?xml version="1.0" encoding="utf-8"?>
<ds:datastoreItem xmlns:ds="http://schemas.openxmlformats.org/officeDocument/2006/customXml" ds:itemID="{36DBD8CF-95BE-46EF-8344-F9C46E476088}"/>
</file>

<file path=customXml/itemProps3.xml><?xml version="1.0" encoding="utf-8"?>
<ds:datastoreItem xmlns:ds="http://schemas.openxmlformats.org/officeDocument/2006/customXml" ds:itemID="{6478DFC7-AC98-443C-B074-62F8B94AD5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46645-3F8D-4180-99E2-835F2C3E5CF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key principles for culturally competent support</dc:title>
  <dc:subject>Guidance summary</dc:subject>
  <dc:creator>Ellen Rowland</dc:creator>
  <keywords/>
  <dc:description/>
  <lastModifiedBy>Iona White</lastModifiedBy>
  <revision>8</revision>
  <dcterms:created xsi:type="dcterms:W3CDTF">2025-08-20T15:28:00.0000000Z</dcterms:created>
  <dcterms:modified xsi:type="dcterms:W3CDTF">2026-05-13T13:09:15.6501540Z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0x0101008F638BDE07EFE44ABF60A2B81A281190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fdabb329-b825-4eda-a586-82f3f5cf7239</vt:lpwstr>
  </property>
</Properties>
</file>