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7ED1" w14:textId="77777777" w:rsidR="00F67DDF" w:rsidRDefault="00F67DDF" w:rsidP="0093622E">
      <w:pPr>
        <w:pStyle w:val="Subtitle"/>
        <w:rPr>
          <w:rFonts w:ascii="Inter" w:eastAsiaTheme="majorEastAsia" w:hAnsi="Inter" w:cstheme="majorBidi"/>
          <w:kern w:val="28"/>
          <w:sz w:val="64"/>
          <w:szCs w:val="56"/>
        </w:rPr>
      </w:pPr>
      <w:r w:rsidRPr="00F67DDF">
        <w:rPr>
          <w:rFonts w:ascii="Inter" w:eastAsiaTheme="majorEastAsia" w:hAnsi="Inter" w:cstheme="majorBidi"/>
          <w:kern w:val="28"/>
          <w:sz w:val="64"/>
          <w:szCs w:val="56"/>
        </w:rPr>
        <w:t>Henry Smith Foundation</w:t>
      </w:r>
    </w:p>
    <w:p w14:paraId="59D27CC5" w14:textId="77777777" w:rsidR="00F67DDF" w:rsidRDefault="00F67DDF" w:rsidP="0093622E">
      <w:pPr>
        <w:pStyle w:val="Subtitle"/>
        <w:rPr>
          <w:rFonts w:ascii="Inter" w:eastAsiaTheme="majorEastAsia" w:hAnsi="Inter" w:cstheme="majorBidi"/>
          <w:kern w:val="28"/>
          <w:sz w:val="64"/>
          <w:szCs w:val="56"/>
        </w:rPr>
      </w:pPr>
      <w:r w:rsidRPr="00F67DDF">
        <w:rPr>
          <w:rFonts w:ascii="Inter" w:eastAsiaTheme="majorEastAsia" w:hAnsi="Inter" w:cstheme="majorBidi"/>
          <w:kern w:val="28"/>
          <w:sz w:val="64"/>
          <w:szCs w:val="56"/>
        </w:rPr>
        <w:t>Grants Policy</w:t>
      </w:r>
    </w:p>
    <w:p w14:paraId="62F5A202" w14:textId="77777777" w:rsidR="00E95804" w:rsidRPr="00E95804" w:rsidRDefault="00E95804" w:rsidP="00E95804"/>
    <w:p w14:paraId="795CE94D" w14:textId="66D9DE3F" w:rsidR="0093622E" w:rsidRDefault="0093622E" w:rsidP="0093622E">
      <w:pPr>
        <w:pStyle w:val="Subtitle"/>
      </w:pPr>
      <w:r w:rsidRPr="0093622E">
        <w:t>Review</w:t>
      </w:r>
      <w:r>
        <w:t xml:space="preserve"> date: </w:t>
      </w:r>
      <w:r w:rsidR="00F67DDF">
        <w:t>01/2026</w:t>
      </w:r>
      <w:r w:rsidR="006C1BCD">
        <w:br/>
      </w:r>
      <w:r w:rsidR="006C1BCD" w:rsidRPr="006C1BCD">
        <w:t>Effective from: </w:t>
      </w:r>
      <w:r w:rsidR="006C1BCD">
        <w:t>03/</w:t>
      </w:r>
      <w:r w:rsidR="006C1BCD" w:rsidRPr="006C1BCD">
        <w:t>2026</w:t>
      </w:r>
    </w:p>
    <w:p w14:paraId="5C20CBD1" w14:textId="77777777" w:rsidR="00216AD6" w:rsidRDefault="0093622E" w:rsidP="00216AD6">
      <w:pPr>
        <w:pStyle w:val="Subtitle"/>
      </w:pPr>
      <w:r>
        <w:t xml:space="preserve">Next review due: </w:t>
      </w:r>
      <w:r w:rsidR="00F67DDF">
        <w:t>01/2027</w:t>
      </w:r>
    </w:p>
    <w:p w14:paraId="54CF85F1" w14:textId="7138013E" w:rsidR="00216AD6" w:rsidRPr="00B62254" w:rsidRDefault="00216AD6" w:rsidP="00216AD6">
      <w:pPr>
        <w:pStyle w:val="Subtitle"/>
      </w:pPr>
      <w:r w:rsidRPr="00DD5AB7">
        <w:t>Document owners: Henry Smith Foundation Trustees</w:t>
      </w:r>
    </w:p>
    <w:p w14:paraId="7C6F2A60" w14:textId="5C0266EF" w:rsidR="00163D89" w:rsidRDefault="006C1BCD" w:rsidP="00216AD6">
      <w:pPr>
        <w:pStyle w:val="Subtitle"/>
      </w:pPr>
      <w:r>
        <w:br/>
      </w:r>
    </w:p>
    <w:p w14:paraId="20F03727" w14:textId="77777777" w:rsidR="00C92C61" w:rsidRPr="0094259B" w:rsidRDefault="00C92C61" w:rsidP="0090228F">
      <w:pPr>
        <w:sectPr w:rsidR="00C92C61" w:rsidRPr="0094259B" w:rsidSect="005530F0">
          <w:headerReference w:type="even" r:id="rId11"/>
          <w:headerReference w:type="default" r:id="rId12"/>
          <w:footerReference w:type="even" r:id="rId13"/>
          <w:footerReference w:type="default" r:id="rId14"/>
          <w:headerReference w:type="first" r:id="rId15"/>
          <w:footerReference w:type="first" r:id="rId16"/>
          <w:pgSz w:w="11906" w:h="16838" w:code="9"/>
          <w:pgMar w:top="1701" w:right="680" w:bottom="1134" w:left="1985" w:header="397" w:footer="340" w:gutter="0"/>
          <w:cols w:space="708"/>
          <w:titlePg/>
          <w:docGrid w:linePitch="360"/>
        </w:sectPr>
      </w:pPr>
    </w:p>
    <w:p w14:paraId="46C8B1C9" w14:textId="77777777" w:rsidR="00DD5AB7" w:rsidRPr="00DD5AB7" w:rsidRDefault="00DD5AB7" w:rsidP="00DD5AB7">
      <w:pPr>
        <w:pStyle w:val="Heading1"/>
        <w:spacing w:after="160"/>
      </w:pPr>
      <w:r w:rsidRPr="00DD5AB7">
        <w:lastRenderedPageBreak/>
        <w:t>Purpose of this Policy </w:t>
      </w:r>
    </w:p>
    <w:p w14:paraId="1C594137" w14:textId="77777777" w:rsidR="00DD5AB7" w:rsidRPr="00DD5AB7" w:rsidRDefault="00DD5AB7" w:rsidP="00DD5AB7">
      <w:r w:rsidRPr="00DD5AB7">
        <w:t>Our strategy sets out how we will meet our charitable objects from 2025 to 2030. This policy explains how we will make grants to organisations during the strategy period. </w:t>
      </w:r>
    </w:p>
    <w:p w14:paraId="2727A29D" w14:textId="77777777" w:rsidR="00DD5AB7" w:rsidRDefault="00DD5AB7" w:rsidP="00DD5AB7">
      <w:r w:rsidRPr="00DD5AB7">
        <w:t>It reflects our values and what we’ve learned from funded organisations and other foundations. It also explains how we meet regulatory requirements while remaining flexible and supportive. </w:t>
      </w:r>
    </w:p>
    <w:p w14:paraId="6F69B9DD" w14:textId="77777777" w:rsidR="00DD5AB7" w:rsidRPr="00DD5AB7" w:rsidRDefault="00DD5AB7" w:rsidP="00DD5AB7"/>
    <w:p w14:paraId="36962D63" w14:textId="77777777" w:rsidR="00DD5AB7" w:rsidRDefault="00DD5AB7" w:rsidP="00DD5AB7">
      <w:pPr>
        <w:pStyle w:val="Heading1"/>
        <w:spacing w:after="160"/>
      </w:pPr>
      <w:r w:rsidRPr="00DD5AB7">
        <w:t>Our values </w:t>
      </w:r>
    </w:p>
    <w:p w14:paraId="3A580C53" w14:textId="77777777" w:rsidR="00DD5AB7" w:rsidRDefault="00DD5AB7" w:rsidP="00DD5AB7">
      <w:r w:rsidRPr="00DD5AB7">
        <w:t>Our approach is guided by four core organisational values and our DEI Principles. These guide how we work with staff, organisations and communities. They shape how we make decisions, share power and learn over time:  </w:t>
      </w:r>
    </w:p>
    <w:p w14:paraId="1143824A" w14:textId="77777777" w:rsidR="00DD5AB7" w:rsidRPr="00DD5AB7" w:rsidRDefault="00DD5AB7" w:rsidP="00DD5AB7"/>
    <w:p w14:paraId="5EDDB26E" w14:textId="77777777" w:rsidR="00DD5AB7" w:rsidRPr="00DD5AB7" w:rsidRDefault="00DD5AB7" w:rsidP="00DD5AB7">
      <w:pPr>
        <w:pStyle w:val="ListBullet"/>
      </w:pPr>
      <w:r w:rsidRPr="00DD5AB7">
        <w:t>Catalysts for change – we enable meaningful social action and systemic change. </w:t>
      </w:r>
    </w:p>
    <w:p w14:paraId="7A12FD79" w14:textId="77777777" w:rsidR="00DD5AB7" w:rsidRPr="00DD5AB7" w:rsidRDefault="00DD5AB7" w:rsidP="00DD5AB7">
      <w:pPr>
        <w:pStyle w:val="ListBullet"/>
      </w:pPr>
      <w:r w:rsidRPr="00DD5AB7">
        <w:t>Relationship centred – we build trust-based partnerships with the organisations we fund. </w:t>
      </w:r>
    </w:p>
    <w:p w14:paraId="45931127" w14:textId="77777777" w:rsidR="00DD5AB7" w:rsidRPr="00DD5AB7" w:rsidRDefault="00DD5AB7" w:rsidP="00DD5AB7">
      <w:pPr>
        <w:pStyle w:val="ListBullet"/>
      </w:pPr>
      <w:r w:rsidRPr="00DD5AB7">
        <w:t>Forward thinking – we take a long-term view and embrace innovation. </w:t>
      </w:r>
    </w:p>
    <w:p w14:paraId="3605EB4C" w14:textId="77777777" w:rsidR="00DD5AB7" w:rsidRPr="00DD5AB7" w:rsidRDefault="00DD5AB7" w:rsidP="00DD5AB7">
      <w:pPr>
        <w:pStyle w:val="ListBullet"/>
      </w:pPr>
      <w:r w:rsidRPr="00DD5AB7">
        <w:t>Always learning – we adapt based on feedback and evidence. </w:t>
      </w:r>
    </w:p>
    <w:p w14:paraId="576F1FF2" w14:textId="77777777" w:rsidR="00DD5AB7" w:rsidRDefault="00DD5AB7" w:rsidP="00DD5AB7">
      <w:pPr>
        <w:pStyle w:val="Heading1"/>
        <w:spacing w:after="160"/>
      </w:pPr>
    </w:p>
    <w:p w14:paraId="1BD58B39" w14:textId="0367E1E2" w:rsidR="00DD5AB7" w:rsidRPr="00DD5AB7" w:rsidRDefault="00DD5AB7" w:rsidP="00DD5AB7">
      <w:pPr>
        <w:pStyle w:val="Heading1"/>
        <w:spacing w:after="160"/>
      </w:pPr>
      <w:r w:rsidRPr="00DD5AB7">
        <w:t>Our DEI Principles </w:t>
      </w:r>
    </w:p>
    <w:p w14:paraId="27AEF584" w14:textId="77777777" w:rsidR="00DD5AB7" w:rsidRPr="00DD5AB7" w:rsidRDefault="00DD5AB7" w:rsidP="00DD5AB7">
      <w:pPr>
        <w:pStyle w:val="Heading3"/>
      </w:pPr>
      <w:r w:rsidRPr="00DD5AB7">
        <w:t>Principle 1: Power-Aware Partnership  </w:t>
      </w:r>
    </w:p>
    <w:p w14:paraId="7E0D87E4" w14:textId="77777777" w:rsidR="00DD5AB7" w:rsidRDefault="00DD5AB7" w:rsidP="00DD5AB7">
      <w:r w:rsidRPr="00DD5AB7">
        <w:t>We recognise that funding relationships involve power. Where we can, we work to reduce power imbalance by being clear about how decisions are made, sharing information openly, and involving people most affected by decisions in shaping them. </w:t>
      </w:r>
    </w:p>
    <w:p w14:paraId="6F97C78F" w14:textId="77777777" w:rsidR="00DD5AB7" w:rsidRPr="00DD5AB7" w:rsidRDefault="00DD5AB7" w:rsidP="00DD5AB7"/>
    <w:p w14:paraId="682325D8" w14:textId="77777777" w:rsidR="00DD5AB7" w:rsidRPr="00DD5AB7" w:rsidRDefault="00DD5AB7" w:rsidP="00DD5AB7">
      <w:pPr>
        <w:pStyle w:val="Heading3"/>
      </w:pPr>
      <w:r w:rsidRPr="00DD5AB7">
        <w:t>Principle 2: Lived Experience as Expertise  </w:t>
      </w:r>
    </w:p>
    <w:p w14:paraId="276FBE97" w14:textId="77777777" w:rsidR="00DD5AB7" w:rsidRPr="00DD5AB7" w:rsidRDefault="00DD5AB7" w:rsidP="00DD5AB7">
      <w:r w:rsidRPr="00DD5AB7">
        <w:t>We value the knowledge and leadership of people with direct experience of the issues being addressed. Lived experience is a form of expertise and should shape decisions, not sit alongside them. </w:t>
      </w:r>
    </w:p>
    <w:p w14:paraId="04EF68A5" w14:textId="77777777" w:rsidR="00DD5AB7" w:rsidRPr="00DD5AB7" w:rsidRDefault="00DD5AB7" w:rsidP="00DD5AB7">
      <w:r w:rsidRPr="00DD5AB7">
        <w:t> </w:t>
      </w:r>
    </w:p>
    <w:p w14:paraId="6F8E47D9" w14:textId="77777777" w:rsidR="00DD5AB7" w:rsidRPr="00DD5AB7" w:rsidRDefault="00DD5AB7" w:rsidP="00DD5AB7">
      <w:pPr>
        <w:pStyle w:val="Heading3"/>
      </w:pPr>
      <w:r w:rsidRPr="00DD5AB7">
        <w:t>Principle 3: Inclusive by Design </w:t>
      </w:r>
    </w:p>
    <w:p w14:paraId="536B3DFD" w14:textId="69F5A426" w:rsidR="00DD5AB7" w:rsidRDefault="00DD5AB7" w:rsidP="00DD5AB7">
      <w:r w:rsidRPr="00DD5AB7">
        <w:t>We aim to build accessibility, equity and inclusion into our policies and processes from the start. We ask whose voices are missing, what barriers exist, and who benefits from current ways of working. </w:t>
      </w:r>
    </w:p>
    <w:p w14:paraId="1C8C4B0D" w14:textId="77777777" w:rsidR="00DD5AB7" w:rsidRPr="00DD5AB7" w:rsidRDefault="00DD5AB7" w:rsidP="00DD5AB7"/>
    <w:p w14:paraId="5435F092" w14:textId="77777777" w:rsidR="00DD5AB7" w:rsidRPr="00DD5AB7" w:rsidRDefault="00DD5AB7" w:rsidP="00DD5AB7">
      <w:pPr>
        <w:pStyle w:val="Heading3"/>
      </w:pPr>
      <w:r w:rsidRPr="00DD5AB7">
        <w:t>Principle 4: Learning Through Discomfort  </w:t>
      </w:r>
    </w:p>
    <w:p w14:paraId="31254D4B" w14:textId="77777777" w:rsidR="00E95804" w:rsidRDefault="00DD5AB7" w:rsidP="00E95804">
      <w:r w:rsidRPr="00DD5AB7">
        <w:t>We create space for honest conversations about inequality, privilege and systemic barriers. This includes questioning established practices, acknowledging mistakes, and learning openly as we go.  </w:t>
      </w:r>
    </w:p>
    <w:p w14:paraId="61047747" w14:textId="5D742A31" w:rsidR="00DD5AB7" w:rsidRPr="00E95804" w:rsidRDefault="00DD5AB7" w:rsidP="00E95804">
      <w:pPr>
        <w:pStyle w:val="Heading2"/>
      </w:pPr>
      <w:r w:rsidRPr="00E95804">
        <w:lastRenderedPageBreak/>
        <w:t>How we work: our grant making principles </w:t>
      </w:r>
    </w:p>
    <w:p w14:paraId="0F3551B1" w14:textId="4883A363" w:rsidR="00DD5AB7" w:rsidRPr="00DD5AB7" w:rsidRDefault="00DD5AB7" w:rsidP="00DD5AB7">
      <w:pPr>
        <w:pStyle w:val="Subtitle"/>
        <w:ind w:left="0"/>
      </w:pPr>
      <w:r w:rsidRPr="00DD5AB7">
        <w:rPr>
          <w:rFonts w:eastAsiaTheme="majorEastAsia"/>
        </w:rPr>
        <w:t>Relational grant making </w:t>
      </w:r>
    </w:p>
    <w:p w14:paraId="5CA6BF44" w14:textId="77777777" w:rsidR="00DD5AB7" w:rsidRDefault="00DD5AB7" w:rsidP="00DD5AB7">
      <w:r w:rsidRPr="00DD5AB7">
        <w:t>We fund from a position of trust. We create space for organisations to be open about what’s working, what’s difficult, and where they need support. Organisations will have a clear sense of what to expect from us in each fund. </w:t>
      </w:r>
    </w:p>
    <w:p w14:paraId="20DE99D6" w14:textId="77777777" w:rsidR="00DD5AB7" w:rsidRPr="00DD5AB7" w:rsidRDefault="00DD5AB7" w:rsidP="00DD5AB7"/>
    <w:p w14:paraId="040476FD" w14:textId="77777777" w:rsidR="00DD5AB7" w:rsidRPr="00DD5AB7" w:rsidRDefault="00DD5AB7" w:rsidP="00E95804">
      <w:pPr>
        <w:pStyle w:val="Heading3"/>
      </w:pPr>
      <w:r w:rsidRPr="00DD5AB7">
        <w:t>1.2 Evidence-based design and decisions </w:t>
      </w:r>
    </w:p>
    <w:p w14:paraId="3A556EE0" w14:textId="77777777" w:rsidR="00DD5AB7" w:rsidRDefault="00DD5AB7" w:rsidP="00DD5AB7">
      <w:r w:rsidRPr="00DD5AB7">
        <w:t>We take time to understand the information shared with us, alongside trusted public sources. We use this to design programmes and make fair decisions. We tailor our due diligence to the level of funding and context. </w:t>
      </w:r>
    </w:p>
    <w:p w14:paraId="5159A05E" w14:textId="77777777" w:rsidR="00DD5AB7" w:rsidRPr="00DD5AB7" w:rsidRDefault="00DD5AB7" w:rsidP="00DD5AB7"/>
    <w:p w14:paraId="7A8B4C3B" w14:textId="77777777" w:rsidR="00DD5AB7" w:rsidRPr="00DD5AB7" w:rsidRDefault="00DD5AB7" w:rsidP="00E95804">
      <w:pPr>
        <w:pStyle w:val="Heading3"/>
      </w:pPr>
      <w:r w:rsidRPr="00DD5AB7">
        <w:t>1.3 Equity and geographic balance </w:t>
      </w:r>
    </w:p>
    <w:p w14:paraId="4CF870DD" w14:textId="77777777" w:rsidR="00DD5AB7" w:rsidRDefault="00DD5AB7" w:rsidP="00DD5AB7">
      <w:r w:rsidRPr="00DD5AB7">
        <w:t>We fund organisations across the UK, directing resources to places and communities where needs are highest and our funding can make the greatest impact. The exception is Parishes funding as the locations are already set in our founding objects. </w:t>
      </w:r>
    </w:p>
    <w:p w14:paraId="69EB009D" w14:textId="77777777" w:rsidR="00DD5AB7" w:rsidRPr="00E95804" w:rsidRDefault="00DD5AB7" w:rsidP="00E95804">
      <w:pPr>
        <w:pStyle w:val="Heading3"/>
      </w:pPr>
    </w:p>
    <w:p w14:paraId="720EAAD2" w14:textId="77777777" w:rsidR="00DD5AB7" w:rsidRPr="00E95804" w:rsidRDefault="00DD5AB7" w:rsidP="00E95804">
      <w:pPr>
        <w:pStyle w:val="Heading3"/>
      </w:pPr>
      <w:r w:rsidRPr="00E95804">
        <w:t>1.4 Thoughtful risk-taking </w:t>
      </w:r>
    </w:p>
    <w:p w14:paraId="37BC20A4" w14:textId="77777777" w:rsidR="00DD5AB7" w:rsidRDefault="00DD5AB7" w:rsidP="00DD5AB7">
      <w:r w:rsidRPr="00DD5AB7">
        <w:t>We are prepared to fund work that involves uncertainty. We support organisations that deliver meaningful change, including causes that may be unpopular or challenging. We consider risk in three ways: </w:t>
      </w:r>
    </w:p>
    <w:p w14:paraId="6E09BF6F" w14:textId="77777777" w:rsidR="00DD5AB7" w:rsidRPr="00DD5AB7" w:rsidRDefault="00DD5AB7" w:rsidP="00DD5AB7"/>
    <w:p w14:paraId="473D1236" w14:textId="77777777" w:rsidR="00DD5AB7" w:rsidRPr="00DD5AB7" w:rsidRDefault="00DD5AB7" w:rsidP="00DD5AB7">
      <w:pPr>
        <w:pStyle w:val="ListBullet"/>
      </w:pPr>
      <w:r w:rsidRPr="00DD5AB7">
        <w:t>Impact risk – What happens if the work doesn't succeed or funds are misused? </w:t>
      </w:r>
    </w:p>
    <w:p w14:paraId="0CF08B45" w14:textId="77777777" w:rsidR="00DD5AB7" w:rsidRPr="00DD5AB7" w:rsidRDefault="00DD5AB7" w:rsidP="00DD5AB7">
      <w:pPr>
        <w:pStyle w:val="ListBullet"/>
      </w:pPr>
      <w:r w:rsidRPr="00DD5AB7">
        <w:t>Probability – How likely is the risk? </w:t>
      </w:r>
    </w:p>
    <w:p w14:paraId="031B8DE4" w14:textId="77777777" w:rsidR="00DD5AB7" w:rsidRPr="00DD5AB7" w:rsidRDefault="00DD5AB7" w:rsidP="00DD5AB7">
      <w:pPr>
        <w:pStyle w:val="ListBullet"/>
      </w:pPr>
      <w:r w:rsidRPr="00DD5AB7">
        <w:t>Societal risk – What happens if this work is not funded? </w:t>
      </w:r>
    </w:p>
    <w:p w14:paraId="70144665" w14:textId="77777777" w:rsidR="00DD5AB7" w:rsidRDefault="00DD5AB7" w:rsidP="00DD5AB7">
      <w:pPr>
        <w:pStyle w:val="Heading1"/>
        <w:spacing w:after="160"/>
      </w:pPr>
    </w:p>
    <w:p w14:paraId="531F23AB" w14:textId="0701EE01" w:rsidR="00DD5AB7" w:rsidRPr="00DD5AB7" w:rsidRDefault="00DD5AB7" w:rsidP="00E95804">
      <w:pPr>
        <w:pStyle w:val="Heading3"/>
      </w:pPr>
      <w:r w:rsidRPr="00DD5AB7">
        <w:t>1.5 Flexible funding </w:t>
      </w:r>
    </w:p>
    <w:p w14:paraId="6CA827AB" w14:textId="77777777" w:rsidR="00DD5AB7" w:rsidRDefault="00DD5AB7" w:rsidP="00C8411B">
      <w:r w:rsidRPr="00DD5AB7">
        <w:t>We aim to keep restrictions to a minimum, unless there is a clear reason to do otherwise. Our approach to flexible funding is: </w:t>
      </w:r>
    </w:p>
    <w:p w14:paraId="210CA0BF" w14:textId="77777777" w:rsidR="00C8411B" w:rsidRPr="00DD5AB7" w:rsidRDefault="00C8411B" w:rsidP="00C8411B"/>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7"/>
        <w:gridCol w:w="6574"/>
      </w:tblGrid>
      <w:tr w:rsidR="00DD5AB7" w:rsidRPr="00DD5AB7" w14:paraId="63F56390" w14:textId="77777777">
        <w:trPr>
          <w:trHeight w:val="300"/>
        </w:trPr>
        <w:tc>
          <w:tcPr>
            <w:tcW w:w="2775" w:type="dxa"/>
            <w:tcBorders>
              <w:top w:val="nil"/>
              <w:left w:val="nil"/>
              <w:bottom w:val="nil"/>
              <w:right w:val="nil"/>
            </w:tcBorders>
            <w:vAlign w:val="center"/>
            <w:hideMark/>
          </w:tcPr>
          <w:p w14:paraId="0A06C615" w14:textId="77777777" w:rsidR="00DD5AB7" w:rsidRPr="00DD5AB7" w:rsidRDefault="00DD5AB7" w:rsidP="00C8411B">
            <w:pPr>
              <w:pStyle w:val="Heading3"/>
            </w:pPr>
            <w:r w:rsidRPr="00DD5AB7">
              <w:t>Type </w:t>
            </w:r>
          </w:p>
        </w:tc>
        <w:tc>
          <w:tcPr>
            <w:tcW w:w="6960" w:type="dxa"/>
            <w:tcBorders>
              <w:top w:val="nil"/>
              <w:left w:val="nil"/>
              <w:bottom w:val="nil"/>
              <w:right w:val="nil"/>
            </w:tcBorders>
            <w:vAlign w:val="center"/>
            <w:hideMark/>
          </w:tcPr>
          <w:p w14:paraId="40E9C9F4" w14:textId="77777777" w:rsidR="00DD5AB7" w:rsidRPr="00DD5AB7" w:rsidRDefault="00DD5AB7" w:rsidP="00C8411B">
            <w:pPr>
              <w:pStyle w:val="Heading3"/>
            </w:pPr>
            <w:r w:rsidRPr="00DD5AB7">
              <w:t>When we use it </w:t>
            </w:r>
          </w:p>
        </w:tc>
      </w:tr>
      <w:tr w:rsidR="00DD5AB7" w:rsidRPr="00DD5AB7" w14:paraId="230BB0C4" w14:textId="77777777">
        <w:trPr>
          <w:trHeight w:val="570"/>
        </w:trPr>
        <w:tc>
          <w:tcPr>
            <w:tcW w:w="2775" w:type="dxa"/>
            <w:tcBorders>
              <w:top w:val="nil"/>
              <w:left w:val="nil"/>
              <w:bottom w:val="nil"/>
              <w:right w:val="nil"/>
            </w:tcBorders>
            <w:vAlign w:val="center"/>
            <w:hideMark/>
          </w:tcPr>
          <w:p w14:paraId="57F987EB" w14:textId="77777777" w:rsidR="00DD5AB7" w:rsidRPr="00DD5AB7" w:rsidRDefault="00DD5AB7" w:rsidP="00C8411B">
            <w:r w:rsidRPr="00DD5AB7">
              <w:t>Unrestricted funding </w:t>
            </w:r>
          </w:p>
        </w:tc>
        <w:tc>
          <w:tcPr>
            <w:tcW w:w="6960" w:type="dxa"/>
            <w:tcBorders>
              <w:top w:val="nil"/>
              <w:left w:val="nil"/>
              <w:bottom w:val="nil"/>
              <w:right w:val="nil"/>
            </w:tcBorders>
            <w:vAlign w:val="center"/>
            <w:hideMark/>
          </w:tcPr>
          <w:p w14:paraId="1AE01ED6" w14:textId="77777777" w:rsidR="00DD5AB7" w:rsidRPr="00DD5AB7" w:rsidRDefault="00DD5AB7" w:rsidP="00C8411B">
            <w:r w:rsidRPr="00DD5AB7">
              <w:t>When a charity's objects are fully within the scope of our current strategy. </w:t>
            </w:r>
          </w:p>
        </w:tc>
      </w:tr>
      <w:tr w:rsidR="00DD5AB7" w:rsidRPr="00DD5AB7" w14:paraId="566282B3" w14:textId="77777777">
        <w:trPr>
          <w:trHeight w:val="435"/>
        </w:trPr>
        <w:tc>
          <w:tcPr>
            <w:tcW w:w="2775" w:type="dxa"/>
            <w:tcBorders>
              <w:top w:val="nil"/>
              <w:left w:val="nil"/>
              <w:bottom w:val="nil"/>
              <w:right w:val="nil"/>
            </w:tcBorders>
            <w:vAlign w:val="center"/>
            <w:hideMark/>
          </w:tcPr>
          <w:p w14:paraId="12890B73" w14:textId="77777777" w:rsidR="00DD5AB7" w:rsidRPr="00DD5AB7" w:rsidRDefault="00DD5AB7" w:rsidP="00C8411B">
            <w:r w:rsidRPr="00DD5AB7">
              <w:t>Flexible funding </w:t>
            </w:r>
          </w:p>
        </w:tc>
        <w:tc>
          <w:tcPr>
            <w:tcW w:w="6960" w:type="dxa"/>
            <w:tcBorders>
              <w:top w:val="nil"/>
              <w:left w:val="nil"/>
              <w:bottom w:val="nil"/>
              <w:right w:val="nil"/>
            </w:tcBorders>
            <w:vAlign w:val="center"/>
            <w:hideMark/>
          </w:tcPr>
          <w:p w14:paraId="2E88EFC1" w14:textId="77777777" w:rsidR="00DD5AB7" w:rsidRPr="00DD5AB7" w:rsidRDefault="00DD5AB7" w:rsidP="00C8411B">
            <w:r w:rsidRPr="00DD5AB7">
              <w:t>When an organisation’s objects and work are wider than our strategy. The restrictions are minimal.  </w:t>
            </w:r>
          </w:p>
        </w:tc>
      </w:tr>
      <w:tr w:rsidR="00DD5AB7" w:rsidRPr="00DD5AB7" w14:paraId="3B2BCC25" w14:textId="77777777">
        <w:trPr>
          <w:trHeight w:val="300"/>
        </w:trPr>
        <w:tc>
          <w:tcPr>
            <w:tcW w:w="2775" w:type="dxa"/>
            <w:tcBorders>
              <w:top w:val="nil"/>
              <w:left w:val="nil"/>
              <w:bottom w:val="nil"/>
              <w:right w:val="nil"/>
            </w:tcBorders>
            <w:vAlign w:val="center"/>
            <w:hideMark/>
          </w:tcPr>
          <w:p w14:paraId="1C3CE0BA" w14:textId="77777777" w:rsidR="00DD5AB7" w:rsidRPr="00DD5AB7" w:rsidRDefault="00DD5AB7" w:rsidP="00C8411B">
            <w:r w:rsidRPr="00DD5AB7">
              <w:t>Restricted </w:t>
            </w:r>
          </w:p>
        </w:tc>
        <w:tc>
          <w:tcPr>
            <w:tcW w:w="6960" w:type="dxa"/>
            <w:tcBorders>
              <w:top w:val="nil"/>
              <w:left w:val="nil"/>
              <w:bottom w:val="nil"/>
              <w:right w:val="nil"/>
            </w:tcBorders>
            <w:vAlign w:val="center"/>
            <w:hideMark/>
          </w:tcPr>
          <w:p w14:paraId="5D284E88" w14:textId="77777777" w:rsidR="00DD5AB7" w:rsidRDefault="00DD5AB7" w:rsidP="00C8411B">
            <w:r w:rsidRPr="00DD5AB7">
              <w:t>When we focus support for a specific project or part of an organisation's work, or when an organisation asks us to restrict. </w:t>
            </w:r>
          </w:p>
          <w:p w14:paraId="6685EEEC" w14:textId="77777777" w:rsidR="00C8411B" w:rsidRPr="00DD5AB7" w:rsidRDefault="00C8411B" w:rsidP="00C8411B"/>
        </w:tc>
      </w:tr>
    </w:tbl>
    <w:p w14:paraId="366BF9E8" w14:textId="77777777" w:rsidR="00A70788" w:rsidRDefault="00A70788" w:rsidP="00C8411B"/>
    <w:p w14:paraId="1A437D50" w14:textId="02920239" w:rsidR="00DD5AB7" w:rsidRDefault="00DD5AB7" w:rsidP="00C8411B">
      <w:r w:rsidRPr="00DD5AB7">
        <w:lastRenderedPageBreak/>
        <w:t>We prioritise what organisations find most helpful, while balancing this with our charitable objects, strategic aims and approach to risk. We are prepared to be a sole funder where this helps deliver critical work. </w:t>
      </w:r>
    </w:p>
    <w:p w14:paraId="4CF639B3" w14:textId="77777777" w:rsidR="00C8411B" w:rsidRPr="00DD5AB7" w:rsidRDefault="00C8411B" w:rsidP="00C8411B"/>
    <w:p w14:paraId="2A2B1FAF" w14:textId="77777777" w:rsidR="00DD5AB7" w:rsidRPr="00DD5AB7" w:rsidRDefault="00DD5AB7" w:rsidP="00C8411B">
      <w:pPr>
        <w:pStyle w:val="Heading3"/>
      </w:pPr>
      <w:r w:rsidRPr="00DD5AB7">
        <w:t>1.6 Collaboration and partnership </w:t>
      </w:r>
    </w:p>
    <w:p w14:paraId="536B4A33" w14:textId="77777777" w:rsidR="00DD5AB7" w:rsidRDefault="00DD5AB7" w:rsidP="00C8411B">
      <w:r w:rsidRPr="00DD5AB7">
        <w:t>We seek out and initiate funding partnerships to deliver greater impact, move faster, and focus interest in specific areas. </w:t>
      </w:r>
    </w:p>
    <w:p w14:paraId="150A3EC4" w14:textId="77777777" w:rsidR="00C8411B" w:rsidRPr="00DD5AB7" w:rsidRDefault="00C8411B" w:rsidP="00C8411B"/>
    <w:p w14:paraId="560A6742" w14:textId="77777777" w:rsidR="00DD5AB7" w:rsidRPr="00DD5AB7" w:rsidRDefault="00DD5AB7" w:rsidP="00C8411B">
      <w:pPr>
        <w:pStyle w:val="Heading3"/>
      </w:pPr>
      <w:r w:rsidRPr="00DD5AB7">
        <w:t>2. What we prioritise </w:t>
      </w:r>
    </w:p>
    <w:p w14:paraId="68283BEC" w14:textId="77777777" w:rsidR="00DD5AB7" w:rsidRDefault="00DD5AB7" w:rsidP="00C8411B">
      <w:r w:rsidRPr="00DD5AB7">
        <w:t>We prioritise funding for organisations that: </w:t>
      </w:r>
    </w:p>
    <w:p w14:paraId="1AF13F60" w14:textId="77777777" w:rsidR="00C8411B" w:rsidRPr="00DD5AB7" w:rsidRDefault="00C8411B" w:rsidP="00C8411B"/>
    <w:p w14:paraId="6A8FAA9E" w14:textId="77777777" w:rsidR="00DD5AB7" w:rsidRPr="00DD5AB7" w:rsidRDefault="00DD5AB7" w:rsidP="00C8411B">
      <w:pPr>
        <w:pStyle w:val="ListBullet"/>
      </w:pPr>
      <w:r w:rsidRPr="00DD5AB7">
        <w:t>Align with our strategic aims – we fund activities and services that align with our strategic priorities.  </w:t>
      </w:r>
    </w:p>
    <w:p w14:paraId="24916018" w14:textId="77777777" w:rsidR="00DD5AB7" w:rsidRPr="00DD5AB7" w:rsidRDefault="00DD5AB7" w:rsidP="00C8411B">
      <w:pPr>
        <w:pStyle w:val="ListBullet"/>
      </w:pPr>
      <w:r w:rsidRPr="00DD5AB7">
        <w:t>Take a person-centred, strengths-based and holistic approach – we recognise that strong, inclusive relationships are critical to people facing difficult circumstances, and we celebrate the value of lived experience. </w:t>
      </w:r>
    </w:p>
    <w:p w14:paraId="78203362" w14:textId="77777777" w:rsidR="00DD5AB7" w:rsidRPr="00DD5AB7" w:rsidRDefault="00DD5AB7" w:rsidP="00C8411B">
      <w:pPr>
        <w:pStyle w:val="ListBullet"/>
      </w:pPr>
      <w:r w:rsidRPr="00DD5AB7">
        <w:t>Co-operate and collaborate with others – we expect organisations to work constructively with others. </w:t>
      </w:r>
    </w:p>
    <w:p w14:paraId="06603F6D" w14:textId="77777777" w:rsidR="00DD5AB7" w:rsidRPr="00DD5AB7" w:rsidRDefault="00DD5AB7" w:rsidP="00C8411B">
      <w:pPr>
        <w:pStyle w:val="ListBullet"/>
      </w:pPr>
      <w:r w:rsidRPr="00DD5AB7">
        <w:t>Are committed to impact and learning – we seek organisations that understand and share how their work brings about change, and are committed to increasing that impact. </w:t>
      </w:r>
    </w:p>
    <w:p w14:paraId="0391F552" w14:textId="699041BD" w:rsidR="00E95804" w:rsidRPr="00DD5AB7" w:rsidRDefault="00DD5AB7" w:rsidP="00E95804">
      <w:pPr>
        <w:pStyle w:val="ListBullet"/>
      </w:pPr>
      <w:r w:rsidRPr="00DD5AB7">
        <w:t>Demonstrate excellence in governance – strong governance is fundamental to effective organisations. </w:t>
      </w:r>
    </w:p>
    <w:p w14:paraId="7B944EDA" w14:textId="77777777" w:rsidR="00E95804" w:rsidRDefault="00E95804" w:rsidP="00A70788">
      <w:pPr>
        <w:rPr>
          <w:b/>
          <w:bCs/>
          <w:color w:val="6B2E36" w:themeColor="text2"/>
        </w:rPr>
      </w:pPr>
    </w:p>
    <w:p w14:paraId="4C7E18B9" w14:textId="5E36E8F8" w:rsidR="00DD5AB7" w:rsidRPr="00DD5AB7" w:rsidRDefault="00DD5AB7" w:rsidP="00A70788">
      <w:pPr>
        <w:rPr>
          <w:b/>
          <w:bCs/>
          <w:color w:val="6B2E36" w:themeColor="text2"/>
        </w:rPr>
      </w:pPr>
      <w:r w:rsidRPr="00DD5AB7">
        <w:rPr>
          <w:b/>
          <w:bCs/>
          <w:color w:val="6B2E36" w:themeColor="text2"/>
        </w:rPr>
        <w:t>3. Operational guidelines </w:t>
      </w:r>
    </w:p>
    <w:p w14:paraId="1C874EB8" w14:textId="77777777" w:rsidR="00DD5AB7" w:rsidRDefault="00DD5AB7" w:rsidP="00A70788">
      <w:r w:rsidRPr="00DD5AB7">
        <w:t>Award letters set out our standard terms and conditions. This includes how reporting works and how we handle issues if they arise, and when we may need to pause or end a grant.  </w:t>
      </w:r>
    </w:p>
    <w:p w14:paraId="7A066DB3" w14:textId="77777777" w:rsidR="00A70788" w:rsidRPr="00DD5AB7" w:rsidRDefault="00A70788" w:rsidP="00A70788"/>
    <w:p w14:paraId="0DE3B6B3" w14:textId="77777777" w:rsidR="00DD5AB7" w:rsidRPr="00DD5AB7" w:rsidRDefault="00DD5AB7" w:rsidP="00A70788">
      <w:pPr>
        <w:rPr>
          <w:b/>
          <w:bCs/>
          <w:color w:val="6B2E36" w:themeColor="text2"/>
        </w:rPr>
      </w:pPr>
      <w:r w:rsidRPr="00DD5AB7">
        <w:rPr>
          <w:b/>
          <w:bCs/>
          <w:color w:val="6B2E36" w:themeColor="text2"/>
        </w:rPr>
        <w:t>3.1 Routes to funding </w:t>
      </w:r>
    </w:p>
    <w:p w14:paraId="73E499EF" w14:textId="77777777" w:rsidR="00DD5AB7" w:rsidRDefault="00DD5AB7" w:rsidP="00A70788">
      <w:r w:rsidRPr="00DD5AB7">
        <w:t>We award funding in two main ways: through open funds that organisations can apply to, and through invitation, where we identify organisations that align strongly with our priorities. We don’t accept unsolicited proposals. </w:t>
      </w:r>
    </w:p>
    <w:p w14:paraId="651E0885" w14:textId="77777777" w:rsidR="00A70788" w:rsidRPr="00DD5AB7" w:rsidRDefault="00A70788" w:rsidP="00A70788"/>
    <w:p w14:paraId="23F26CC6" w14:textId="77777777" w:rsidR="00DD5AB7" w:rsidRPr="00DD5AB7" w:rsidRDefault="00DD5AB7" w:rsidP="00A70788">
      <w:pPr>
        <w:rPr>
          <w:b/>
          <w:bCs/>
          <w:color w:val="6B2E36" w:themeColor="text2"/>
        </w:rPr>
      </w:pPr>
      <w:r w:rsidRPr="00DD5AB7">
        <w:rPr>
          <w:b/>
          <w:bCs/>
          <w:color w:val="6B2E36" w:themeColor="text2"/>
        </w:rPr>
        <w:t>3.2 Grant length and approach </w:t>
      </w:r>
    </w:p>
    <w:p w14:paraId="2643A0A7" w14:textId="77777777" w:rsidR="00DD5AB7" w:rsidRDefault="00DD5AB7" w:rsidP="00A70788">
      <w:r w:rsidRPr="00DD5AB7">
        <w:t>In our open and strategic funds, we usually award grants for between three and five years. Heritage grants (Holiday, Parishes and Clergy) are an exception as they are usually short-term funding. </w:t>
      </w:r>
    </w:p>
    <w:p w14:paraId="6CF0FC74" w14:textId="77777777" w:rsidR="00A70788" w:rsidRPr="00DD5AB7" w:rsidRDefault="00A70788" w:rsidP="00A70788"/>
    <w:p w14:paraId="0B76ED67" w14:textId="77777777" w:rsidR="00DD5AB7" w:rsidRPr="00DD5AB7" w:rsidRDefault="00DD5AB7" w:rsidP="00A70788">
      <w:pPr>
        <w:pStyle w:val="Heading3"/>
      </w:pPr>
      <w:r w:rsidRPr="00DD5AB7">
        <w:t>3.3 Multiple grants to one organisation </w:t>
      </w:r>
    </w:p>
    <w:p w14:paraId="6C7E4DE0" w14:textId="77777777" w:rsidR="00DD5AB7" w:rsidRDefault="00DD5AB7" w:rsidP="00A70788">
      <w:r w:rsidRPr="00DD5AB7">
        <w:lastRenderedPageBreak/>
        <w:t>We might fund an organisation through more than one grant where this supports our strategic aims and the organisation is best placed to deliver the work.  </w:t>
      </w:r>
    </w:p>
    <w:p w14:paraId="6E1421BF" w14:textId="77777777" w:rsidR="00A70788" w:rsidRPr="00DD5AB7" w:rsidRDefault="00A70788" w:rsidP="00A70788"/>
    <w:p w14:paraId="447E72D3" w14:textId="77777777" w:rsidR="00DD5AB7" w:rsidRPr="00DD5AB7" w:rsidRDefault="00DD5AB7" w:rsidP="00A70788">
      <w:pPr>
        <w:pStyle w:val="Heading3"/>
      </w:pPr>
      <w:r w:rsidRPr="00DD5AB7">
        <w:t>3.4 Continuation and repeat funding </w:t>
      </w:r>
    </w:p>
    <w:p w14:paraId="4207EA95" w14:textId="77777777" w:rsidR="00DD5AB7" w:rsidRDefault="00DD5AB7" w:rsidP="00A70788">
      <w:r w:rsidRPr="00DD5AB7">
        <w:t>Some organisations may receive funding from us more than once. We usually ask for an updated application or review before continuing support.  </w:t>
      </w:r>
    </w:p>
    <w:p w14:paraId="4C1A0202" w14:textId="77777777" w:rsidR="00A70788" w:rsidRPr="00DD5AB7" w:rsidRDefault="00A70788" w:rsidP="00A70788">
      <w:pPr>
        <w:pStyle w:val="Heading3"/>
      </w:pPr>
    </w:p>
    <w:p w14:paraId="44BF3F7A" w14:textId="77777777" w:rsidR="00DD5AB7" w:rsidRPr="00DD5AB7" w:rsidRDefault="00DD5AB7" w:rsidP="00A70788">
      <w:pPr>
        <w:pStyle w:val="Heading3"/>
      </w:pPr>
      <w:r w:rsidRPr="00DD5AB7">
        <w:t>3.5 Organisational income </w:t>
      </w:r>
    </w:p>
    <w:p w14:paraId="77F313FE" w14:textId="77777777" w:rsidR="00DD5AB7" w:rsidRPr="00A70788" w:rsidRDefault="00DD5AB7" w:rsidP="00DD5AB7">
      <w:pPr>
        <w:pStyle w:val="Heading1"/>
        <w:spacing w:after="160"/>
        <w:rPr>
          <w:rFonts w:eastAsiaTheme="minorHAnsi" w:cstheme="minorBidi"/>
          <w:b w:val="0"/>
          <w:bCs w:val="0"/>
          <w:color w:val="auto"/>
          <w:kern w:val="2"/>
          <w:sz w:val="21"/>
          <w:szCs w:val="24"/>
        </w:rPr>
      </w:pPr>
      <w:r w:rsidRPr="00DD5AB7">
        <w:rPr>
          <w:rFonts w:eastAsiaTheme="minorHAnsi" w:cstheme="minorBidi"/>
          <w:b w:val="0"/>
          <w:bCs w:val="0"/>
          <w:color w:val="auto"/>
          <w:kern w:val="2"/>
          <w:sz w:val="21"/>
          <w:szCs w:val="24"/>
        </w:rPr>
        <w:t>We want to fund the best work in line with our strategic priorities. We set organisational income limits at programme or fund level, where this helps us focus funding effectively.  </w:t>
      </w:r>
    </w:p>
    <w:p w14:paraId="534DD08A" w14:textId="77777777" w:rsidR="00A70788" w:rsidRPr="00DD5AB7" w:rsidRDefault="00A70788" w:rsidP="00A70788">
      <w:pPr>
        <w:pStyle w:val="Heading1"/>
        <w:spacing w:after="160"/>
        <w:rPr>
          <w:rFonts w:eastAsiaTheme="minorHAnsi" w:cstheme="minorBidi"/>
          <w:b w:val="0"/>
          <w:bCs w:val="0"/>
          <w:color w:val="auto"/>
          <w:kern w:val="2"/>
          <w:sz w:val="21"/>
          <w:szCs w:val="24"/>
        </w:rPr>
      </w:pPr>
    </w:p>
    <w:p w14:paraId="4352EDF6" w14:textId="77777777" w:rsidR="00DD5AB7" w:rsidRPr="00DD5AB7" w:rsidRDefault="00DD5AB7" w:rsidP="00A70788">
      <w:pPr>
        <w:pStyle w:val="Heading3"/>
      </w:pPr>
      <w:r w:rsidRPr="00DD5AB7">
        <w:t>3.6 Financial reserves </w:t>
      </w:r>
    </w:p>
    <w:p w14:paraId="7F25EE2E" w14:textId="102DBCC5" w:rsidR="00A70788" w:rsidRPr="00DD5AB7" w:rsidRDefault="00DD5AB7" w:rsidP="00A70788">
      <w:pPr>
        <w:pStyle w:val="Heading1"/>
        <w:spacing w:after="160"/>
        <w:rPr>
          <w:rFonts w:eastAsiaTheme="minorHAnsi" w:cstheme="minorBidi"/>
          <w:b w:val="0"/>
          <w:bCs w:val="0"/>
          <w:color w:val="auto"/>
          <w:kern w:val="2"/>
          <w:sz w:val="21"/>
          <w:szCs w:val="24"/>
        </w:rPr>
      </w:pPr>
      <w:r w:rsidRPr="00DD5AB7">
        <w:rPr>
          <w:rFonts w:eastAsiaTheme="minorHAnsi" w:cstheme="minorBidi"/>
          <w:b w:val="0"/>
          <w:bCs w:val="0"/>
          <w:color w:val="auto"/>
          <w:kern w:val="2"/>
          <w:sz w:val="21"/>
          <w:szCs w:val="24"/>
        </w:rPr>
        <w:t>We look at reserves in context. Organisations hold funds for different reasons at different times. We want to see evidence of sound financial management, including good processes, transparency, governance, and a clear explanation of reserves management. We recognise that: </w:t>
      </w:r>
    </w:p>
    <w:p w14:paraId="43C5658C" w14:textId="77777777" w:rsidR="00DD5AB7" w:rsidRPr="00DD5AB7" w:rsidRDefault="00DD5AB7" w:rsidP="00A70788">
      <w:pPr>
        <w:pStyle w:val="ListBullet"/>
      </w:pPr>
      <w:r w:rsidRPr="00DD5AB7">
        <w:t>Some organisations hold large reserves for good reasons e.g. a contract is ending or there is a major planned investment. </w:t>
      </w:r>
    </w:p>
    <w:p w14:paraId="06D5973C" w14:textId="414EC3E5" w:rsidR="00DD5AB7" w:rsidRPr="00DD5AB7" w:rsidRDefault="00DD5AB7" w:rsidP="00A70788">
      <w:pPr>
        <w:pStyle w:val="ListBullet"/>
      </w:pPr>
      <w:r w:rsidRPr="00DD5AB7">
        <w:t>Low reserves can reflect wider systemic challenges, and we review these on a </w:t>
      </w:r>
      <w:r w:rsidR="00A70788" w:rsidRPr="00DD5AB7">
        <w:t>case-by-case</w:t>
      </w:r>
      <w:r w:rsidRPr="00DD5AB7">
        <w:t> basis.  </w:t>
      </w:r>
    </w:p>
    <w:p w14:paraId="4B179770" w14:textId="77777777" w:rsidR="00DD5AB7" w:rsidRPr="00DD5AB7" w:rsidRDefault="00DD5AB7" w:rsidP="00A70788">
      <w:pPr>
        <w:pStyle w:val="Heading3"/>
      </w:pPr>
      <w:r w:rsidRPr="00DD5AB7">
        <w:t>3.7 Safeguarding </w:t>
      </w:r>
    </w:p>
    <w:p w14:paraId="451FFB95" w14:textId="6AF2A357" w:rsidR="00A70788" w:rsidRPr="00DD5AB7" w:rsidRDefault="00DD5AB7" w:rsidP="00E95804">
      <w:pPr>
        <w:pStyle w:val="Heading1"/>
        <w:spacing w:after="160"/>
        <w:rPr>
          <w:rFonts w:eastAsiaTheme="minorHAnsi" w:cstheme="minorBidi"/>
          <w:b w:val="0"/>
          <w:bCs w:val="0"/>
          <w:color w:val="auto"/>
          <w:kern w:val="2"/>
          <w:sz w:val="21"/>
          <w:szCs w:val="24"/>
        </w:rPr>
      </w:pPr>
      <w:r w:rsidRPr="00DD5AB7">
        <w:rPr>
          <w:rFonts w:eastAsiaTheme="minorHAnsi" w:cstheme="minorBidi"/>
          <w:b w:val="0"/>
          <w:bCs w:val="0"/>
          <w:color w:val="auto"/>
          <w:kern w:val="2"/>
          <w:sz w:val="21"/>
          <w:szCs w:val="24"/>
        </w:rPr>
        <w:t>Safeguarding matters deeply to us. Organisations we fund hold primary responsibility for safeguarding the people they support and work with. Our Safeguarding Policy sets out our minimum expectations for their safeguarding arrangements and our commitment to supporting them to meet their duties. </w:t>
      </w:r>
    </w:p>
    <w:p w14:paraId="6316FF8B" w14:textId="77777777" w:rsidR="00DD5AB7" w:rsidRPr="00DD5AB7" w:rsidRDefault="00DD5AB7" w:rsidP="00A70788">
      <w:pPr>
        <w:pStyle w:val="Heading3"/>
      </w:pPr>
      <w:r w:rsidRPr="00DD5AB7">
        <w:t>3.8 Transparency and accountability </w:t>
      </w:r>
    </w:p>
    <w:p w14:paraId="09FFD41E" w14:textId="1D58F443" w:rsidR="00A70788" w:rsidRPr="00DD5AB7" w:rsidRDefault="00DD5AB7" w:rsidP="00E95804">
      <w:pPr>
        <w:pStyle w:val="Heading1"/>
        <w:spacing w:after="160"/>
      </w:pPr>
      <w:r w:rsidRPr="00DD5AB7">
        <w:rPr>
          <w:rFonts w:eastAsiaTheme="minorHAnsi" w:cstheme="minorBidi"/>
          <w:b w:val="0"/>
          <w:bCs w:val="0"/>
          <w:color w:val="auto"/>
          <w:kern w:val="2"/>
          <w:sz w:val="21"/>
          <w:szCs w:val="24"/>
        </w:rPr>
        <w:t>We aim to be transparent in our decision-making and provide clear, honest feedback wherever possible. We usually publish a summary of grants awarded each year in our annual report and via 360 Giving. We are committed to</w:t>
      </w:r>
      <w:r w:rsidRPr="00DD5AB7">
        <w:t xml:space="preserve"> </w:t>
      </w:r>
      <w:r w:rsidRPr="00DD5AB7">
        <w:rPr>
          <w:rFonts w:eastAsiaTheme="minorHAnsi" w:cstheme="minorBidi"/>
          <w:b w:val="0"/>
          <w:bCs w:val="0"/>
          <w:color w:val="auto"/>
          <w:kern w:val="2"/>
          <w:sz w:val="21"/>
          <w:szCs w:val="24"/>
        </w:rPr>
        <w:t>learning and adapting based on feedback. Complaint</w:t>
      </w:r>
      <w:r w:rsidR="00E95804">
        <w:rPr>
          <w:rFonts w:eastAsiaTheme="minorHAnsi" w:cstheme="minorBidi"/>
          <w:b w:val="0"/>
          <w:bCs w:val="0"/>
          <w:color w:val="auto"/>
          <w:kern w:val="2"/>
          <w:sz w:val="21"/>
          <w:szCs w:val="24"/>
        </w:rPr>
        <w:t>s</w:t>
      </w:r>
      <w:r w:rsidRPr="00DD5AB7">
        <w:rPr>
          <w:rFonts w:eastAsiaTheme="minorHAnsi" w:cstheme="minorBidi"/>
          <w:b w:val="0"/>
          <w:bCs w:val="0"/>
          <w:color w:val="auto"/>
          <w:kern w:val="2"/>
          <w:sz w:val="21"/>
          <w:szCs w:val="24"/>
        </w:rPr>
        <w:t xml:space="preserve"> or concerns can be raised via our published Complaints procedure.</w:t>
      </w:r>
      <w:r w:rsidRPr="00DD5AB7">
        <w:t> </w:t>
      </w:r>
    </w:p>
    <w:p w14:paraId="7F5B57D3" w14:textId="77777777" w:rsidR="00DD5AB7" w:rsidRPr="00DD5AB7" w:rsidRDefault="00DD5AB7" w:rsidP="00A70788">
      <w:pPr>
        <w:pStyle w:val="Heading3"/>
      </w:pPr>
      <w:r w:rsidRPr="00DD5AB7">
        <w:t>3.9 Monitoring and evaluation </w:t>
      </w:r>
    </w:p>
    <w:p w14:paraId="6E452ADE" w14:textId="62473B61" w:rsidR="00DD5AB7" w:rsidRDefault="00DD5AB7" w:rsidP="00A70788">
      <w:r w:rsidRPr="00DD5AB7">
        <w:t>We work with funded organisations to understand the impact of the grant on their work, the people they support and the wider systems.</w:t>
      </w:r>
    </w:p>
    <w:p w14:paraId="4B508E01" w14:textId="77777777" w:rsidR="00A70788" w:rsidRPr="00DD5AB7" w:rsidRDefault="00A70788" w:rsidP="00A70788"/>
    <w:p w14:paraId="1974E555" w14:textId="77777777" w:rsidR="00E95804" w:rsidRDefault="00E95804">
      <w:pPr>
        <w:spacing w:after="160" w:line="278" w:lineRule="auto"/>
        <w:rPr>
          <w:rFonts w:asciiTheme="majorHAnsi" w:hAnsiTheme="majorHAnsi"/>
          <w:b/>
          <w:bCs/>
          <w:color w:val="6B2E36" w:themeColor="text2"/>
        </w:rPr>
      </w:pPr>
      <w:r>
        <w:br w:type="page"/>
      </w:r>
    </w:p>
    <w:p w14:paraId="6E8A722B" w14:textId="13AAC5DA" w:rsidR="00DD5AB7" w:rsidRPr="00DD5AB7" w:rsidRDefault="00DD5AB7" w:rsidP="00A70788">
      <w:pPr>
        <w:pStyle w:val="Heading3"/>
      </w:pPr>
      <w:r w:rsidRPr="00DD5AB7">
        <w:lastRenderedPageBreak/>
        <w:t>3.10 Co-design and participation </w:t>
      </w:r>
    </w:p>
    <w:p w14:paraId="504ACEA3" w14:textId="77777777" w:rsidR="00DD5AB7" w:rsidRDefault="00DD5AB7" w:rsidP="00A70788">
      <w:r w:rsidRPr="00DD5AB7">
        <w:t>We involve organisations, applicants, and communities in shaping our funding approaches. Their expertise and lived experience are essential to making funding work well.  </w:t>
      </w:r>
    </w:p>
    <w:p w14:paraId="621B4DB7" w14:textId="77777777" w:rsidR="00A70788" w:rsidRPr="00DD5AB7" w:rsidRDefault="00A70788" w:rsidP="00A70788"/>
    <w:p w14:paraId="60E61629" w14:textId="77777777" w:rsidR="00DD5AB7" w:rsidRPr="00DD5AB7" w:rsidRDefault="00DD5AB7" w:rsidP="00A70788">
      <w:pPr>
        <w:pStyle w:val="Heading3"/>
      </w:pPr>
      <w:r w:rsidRPr="00DD5AB7">
        <w:t>3.11 Capital funding </w:t>
      </w:r>
    </w:p>
    <w:p w14:paraId="75ECFFA7" w14:textId="77777777" w:rsidR="00DD5AB7" w:rsidRPr="00DD5AB7" w:rsidRDefault="00DD5AB7" w:rsidP="00A70788">
      <w:r w:rsidRPr="00DD5AB7">
        <w:t>We will not run capital funding programmes or invest significantly in capital projects. We reserve the right to offer capital funding at our discretion and by invitation only.  </w:t>
      </w:r>
    </w:p>
    <w:p w14:paraId="46C578FB" w14:textId="77777777" w:rsidR="00A70788" w:rsidRDefault="00A70788" w:rsidP="00A70788">
      <w:pPr>
        <w:pStyle w:val="Heading3"/>
      </w:pPr>
    </w:p>
    <w:p w14:paraId="2018A4ED" w14:textId="760F5F3C" w:rsidR="00DD5AB7" w:rsidRPr="00DD5AB7" w:rsidRDefault="00DD5AB7" w:rsidP="00A70788">
      <w:pPr>
        <w:pStyle w:val="Heading3"/>
      </w:pPr>
      <w:r w:rsidRPr="00DD5AB7">
        <w:t>4. Eligibility Requirements </w:t>
      </w:r>
    </w:p>
    <w:p w14:paraId="6C7BEA4B" w14:textId="77777777" w:rsidR="00DD5AB7" w:rsidRDefault="00DD5AB7" w:rsidP="00A70788">
      <w:r w:rsidRPr="00DD5AB7">
        <w:t>Each programme and fund has specific criteria and applicants need to consider them carefully alongside this policy.  </w:t>
      </w:r>
    </w:p>
    <w:p w14:paraId="200F87C5" w14:textId="77777777" w:rsidR="00A70788" w:rsidRPr="00DD5AB7" w:rsidRDefault="00A70788" w:rsidP="00A70788"/>
    <w:p w14:paraId="68D8230C" w14:textId="77777777" w:rsidR="00DD5AB7" w:rsidRPr="00DD5AB7" w:rsidRDefault="00DD5AB7" w:rsidP="00A70788">
      <w:pPr>
        <w:pStyle w:val="Heading3"/>
      </w:pPr>
      <w:r w:rsidRPr="00DD5AB7">
        <w:t>4.1 Who we fund </w:t>
      </w:r>
    </w:p>
    <w:p w14:paraId="46C58177" w14:textId="77777777" w:rsidR="00DD5AB7" w:rsidRDefault="00DD5AB7" w:rsidP="00A70788">
      <w:r w:rsidRPr="00DD5AB7">
        <w:t>We fund charitable organisations registered in and working in the UK, including: </w:t>
      </w:r>
    </w:p>
    <w:p w14:paraId="77A6A050" w14:textId="77777777" w:rsidR="00A70788" w:rsidRPr="00DD5AB7" w:rsidRDefault="00A70788" w:rsidP="00A70788"/>
    <w:p w14:paraId="2204809C" w14:textId="77777777" w:rsidR="00DD5AB7" w:rsidRPr="00DD5AB7" w:rsidRDefault="00DD5AB7" w:rsidP="00A70788">
      <w:pPr>
        <w:pStyle w:val="ListBullet"/>
      </w:pPr>
      <w:r w:rsidRPr="00DD5AB7">
        <w:t>Registered charities and Charitable incorporated organisations (CIOs) </w:t>
      </w:r>
    </w:p>
    <w:p w14:paraId="21C69400" w14:textId="77777777" w:rsidR="00DD5AB7" w:rsidRPr="00DD5AB7" w:rsidRDefault="00DD5AB7" w:rsidP="00A70788">
      <w:pPr>
        <w:pStyle w:val="ListBullet"/>
      </w:pPr>
      <w:r w:rsidRPr="00DD5AB7">
        <w:t>Community Interest Companies (CICs) that are not-for-profit with an asset lock </w:t>
      </w:r>
    </w:p>
    <w:p w14:paraId="5A2887BC" w14:textId="77777777" w:rsidR="00DD5AB7" w:rsidRPr="00DD5AB7" w:rsidRDefault="00DD5AB7" w:rsidP="00A70788">
      <w:pPr>
        <w:pStyle w:val="ListBullet"/>
      </w:pPr>
      <w:r w:rsidRPr="00DD5AB7">
        <w:t>Other not for profit charitable organisations delivering work aligned with our objects  </w:t>
      </w:r>
    </w:p>
    <w:p w14:paraId="5FEC18ED" w14:textId="77777777" w:rsidR="00DD5AB7" w:rsidRPr="00DD5AB7" w:rsidRDefault="00DD5AB7" w:rsidP="00A70788">
      <w:pPr>
        <w:pStyle w:val="ListBullet"/>
      </w:pPr>
      <w:r w:rsidRPr="00DD5AB7">
        <w:t>Schools can apply for Holiday grants </w:t>
      </w:r>
    </w:p>
    <w:p w14:paraId="56D3B464" w14:textId="77777777" w:rsidR="00A70788" w:rsidRDefault="00A70788" w:rsidP="00DD5AB7">
      <w:pPr>
        <w:pStyle w:val="Heading1"/>
        <w:spacing w:after="160"/>
      </w:pPr>
    </w:p>
    <w:p w14:paraId="1431B967" w14:textId="7F461F79" w:rsidR="00A70788" w:rsidRPr="00DD5AB7" w:rsidRDefault="00DD5AB7" w:rsidP="00A70788">
      <w:pPr>
        <w:pStyle w:val="Heading3"/>
      </w:pPr>
      <w:r w:rsidRPr="00DD5AB7">
        <w:t>4.2 What we don't fund </w:t>
      </w:r>
    </w:p>
    <w:p w14:paraId="338CDCFC" w14:textId="77777777" w:rsidR="00DD5AB7" w:rsidRPr="00DD5AB7" w:rsidRDefault="00DD5AB7" w:rsidP="00A70788">
      <w:r w:rsidRPr="00DD5AB7">
        <w:t>We will not fund: </w:t>
      </w:r>
    </w:p>
    <w:p w14:paraId="3E067E72" w14:textId="77777777" w:rsidR="00DD5AB7" w:rsidRPr="00DD5AB7" w:rsidRDefault="00DD5AB7" w:rsidP="00A70788">
      <w:pPr>
        <w:pStyle w:val="ListBullet"/>
      </w:pPr>
      <w:r w:rsidRPr="00DD5AB7">
        <w:t>Work that benefits people outside the UK </w:t>
      </w:r>
    </w:p>
    <w:p w14:paraId="1A2DBF85" w14:textId="77777777" w:rsidR="00DD5AB7" w:rsidRPr="00DD5AB7" w:rsidRDefault="00DD5AB7" w:rsidP="00A70788">
      <w:pPr>
        <w:pStyle w:val="ListBullet"/>
      </w:pPr>
      <w:r w:rsidRPr="00DD5AB7">
        <w:t>Work that has already taken place </w:t>
      </w:r>
    </w:p>
    <w:p w14:paraId="68191E91" w14:textId="77777777" w:rsidR="00DD5AB7" w:rsidRPr="00DD5AB7" w:rsidRDefault="00DD5AB7" w:rsidP="00A70788">
      <w:pPr>
        <w:pStyle w:val="ListBullet"/>
      </w:pPr>
      <w:r w:rsidRPr="00DD5AB7">
        <w:t>Work that is outside of our objects or not legally charitable </w:t>
      </w:r>
    </w:p>
    <w:p w14:paraId="26B684EF" w14:textId="77777777" w:rsidR="00DD5AB7" w:rsidRPr="00DD5AB7" w:rsidRDefault="00DD5AB7" w:rsidP="00A70788">
      <w:pPr>
        <w:pStyle w:val="ListBullet"/>
      </w:pPr>
      <w:r w:rsidRPr="00DD5AB7">
        <w:t>Work usually considered a statutory responsibility </w:t>
      </w:r>
    </w:p>
    <w:p w14:paraId="0729335C" w14:textId="5BE24CD7" w:rsidR="00A70788" w:rsidRPr="00E95804" w:rsidRDefault="00DD5AB7" w:rsidP="00E95804">
      <w:pPr>
        <w:pStyle w:val="ListBullet"/>
      </w:pPr>
      <w:r w:rsidRPr="00DD5AB7">
        <w:t>Activity to promote a religion or faith </w:t>
      </w:r>
      <w:r w:rsidR="00A70788">
        <w:br w:type="page"/>
      </w:r>
    </w:p>
    <w:p w14:paraId="1CB04C5E" w14:textId="67FA44AB" w:rsidR="00DD5AB7" w:rsidRPr="00DD5AB7" w:rsidRDefault="00DD5AB7" w:rsidP="00A70788">
      <w:pPr>
        <w:pStyle w:val="Heading3"/>
      </w:pPr>
      <w:r w:rsidRPr="00DD5AB7">
        <w:lastRenderedPageBreak/>
        <w:t>5. Policy Review </w:t>
      </w:r>
    </w:p>
    <w:p w14:paraId="4F82A534" w14:textId="53291D2F" w:rsidR="00DD5AB7" w:rsidRPr="00DD5AB7" w:rsidRDefault="00DD5AB7" w:rsidP="00DD5AB7">
      <w:pPr>
        <w:pStyle w:val="Heading1"/>
        <w:spacing w:after="160"/>
        <w:rPr>
          <w:rFonts w:eastAsiaTheme="minorHAnsi" w:cstheme="minorBidi"/>
          <w:b w:val="0"/>
          <w:bCs w:val="0"/>
          <w:color w:val="auto"/>
          <w:kern w:val="2"/>
          <w:sz w:val="21"/>
          <w:szCs w:val="24"/>
        </w:rPr>
      </w:pPr>
      <w:r w:rsidRPr="00DD5AB7">
        <w:rPr>
          <w:rFonts w:eastAsiaTheme="minorHAnsi" w:cstheme="minorBidi"/>
          <w:b w:val="0"/>
          <w:bCs w:val="0"/>
          <w:color w:val="auto"/>
          <w:kern w:val="2"/>
          <w:sz w:val="21"/>
          <w:szCs w:val="24"/>
        </w:rPr>
        <w:t>The Board of Trustees will review and develop this policy based on learning, feedback from organisations, and changes in the external context.</w:t>
      </w:r>
    </w:p>
    <w:sectPr w:rsidR="00DD5AB7" w:rsidRPr="00DD5AB7" w:rsidSect="005530F0">
      <w:headerReference w:type="first" r:id="rId17"/>
      <w:footerReference w:type="first" r:id="rId18"/>
      <w:pgSz w:w="11906" w:h="16838" w:code="9"/>
      <w:pgMar w:top="2268" w:right="680" w:bottom="1134" w:left="1985"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2031F" w14:textId="77777777" w:rsidR="00A93AA6" w:rsidRDefault="00A93AA6" w:rsidP="0090228F">
      <w:r>
        <w:separator/>
      </w:r>
    </w:p>
  </w:endnote>
  <w:endnote w:type="continuationSeparator" w:id="0">
    <w:p w14:paraId="39CED1A0" w14:textId="77777777" w:rsidR="00A93AA6" w:rsidRDefault="00A93AA6" w:rsidP="0090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Light">
    <w:altName w:val="Calibri"/>
    <w:panose1 w:val="02000503000000020004"/>
    <w:charset w:val="00"/>
    <w:family w:val="auto"/>
    <w:pitch w:val="variable"/>
    <w:sig w:usb0="E0000AFF" w:usb1="5200A1FF" w:usb2="00000021" w:usb3="00000000" w:csb0="0000019F" w:csb1="00000000"/>
  </w:font>
  <w:font w:name="Inter">
    <w:panose1 w:val="02000503000000020004"/>
    <w:charset w:val="00"/>
    <w:family w:val="auto"/>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6D43" w14:textId="77777777" w:rsidR="00FC05BE" w:rsidRDefault="00FC0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66"/>
      <w:gridCol w:w="1868"/>
    </w:tblGrid>
    <w:tr w:rsidR="00E82328" w:rsidRPr="0094259B" w14:paraId="6B9BB34D" w14:textId="77777777" w:rsidTr="00092E2F">
      <w:trPr>
        <w:trHeight w:hRule="exact" w:val="454"/>
      </w:trPr>
      <w:tc>
        <w:tcPr>
          <w:tcW w:w="7366" w:type="dxa"/>
          <w:vAlign w:val="bottom"/>
        </w:tcPr>
        <w:p w14:paraId="03BA2481" w14:textId="77777777" w:rsidR="00E82328" w:rsidRPr="0094259B" w:rsidRDefault="00DC716A" w:rsidP="00E82328">
          <w:pPr>
            <w:pStyle w:val="Footer"/>
          </w:pPr>
          <w:r>
            <w:fldChar w:fldCharType="begin"/>
          </w:r>
          <w:r>
            <w:instrText xml:space="preserve"> REF  title </w:instrText>
          </w:r>
          <w:r>
            <w:fldChar w:fldCharType="separate"/>
          </w:r>
          <w:r w:rsidR="00A93AA6" w:rsidRPr="0093622E">
            <w:t>Communications Policy and Guidance</w:t>
          </w:r>
          <w:r w:rsidR="00A93AA6">
            <w:t xml:space="preserve"> </w:t>
          </w:r>
          <w:r>
            <w:fldChar w:fldCharType="end"/>
          </w:r>
        </w:p>
      </w:tc>
      <w:tc>
        <w:tcPr>
          <w:tcW w:w="1868" w:type="dxa"/>
          <w:vAlign w:val="bottom"/>
        </w:tcPr>
        <w:p w14:paraId="17171560" w14:textId="77777777" w:rsidR="00E82328" w:rsidRPr="0094259B" w:rsidRDefault="00E82328" w:rsidP="00E82328">
          <w:pPr>
            <w:pStyle w:val="Footer"/>
            <w:jc w:val="right"/>
          </w:pPr>
          <w:r>
            <w:fldChar w:fldCharType="begin"/>
          </w:r>
          <w:r>
            <w:instrText xml:space="preserve"> PAGE  \* Arabic  \* MERGEFORMAT </w:instrText>
          </w:r>
          <w:r>
            <w:fldChar w:fldCharType="separate"/>
          </w:r>
          <w:r>
            <w:t>2</w:t>
          </w:r>
          <w:r>
            <w:fldChar w:fldCharType="end"/>
          </w:r>
        </w:p>
      </w:tc>
    </w:tr>
  </w:tbl>
  <w:p w14:paraId="4F3A905A" w14:textId="77777777" w:rsidR="00E82328" w:rsidRPr="00E82328" w:rsidRDefault="00E82328" w:rsidP="00E823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83F0" w14:textId="77777777" w:rsidR="00FC05BE" w:rsidRDefault="00FC05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66"/>
      <w:gridCol w:w="1868"/>
    </w:tblGrid>
    <w:tr w:rsidR="00DE406E" w:rsidRPr="0094259B" w14:paraId="7EFC5974" w14:textId="77777777" w:rsidTr="003173F0">
      <w:trPr>
        <w:trHeight w:hRule="exact" w:val="454"/>
      </w:trPr>
      <w:tc>
        <w:tcPr>
          <w:tcW w:w="7366" w:type="dxa"/>
          <w:vAlign w:val="bottom"/>
        </w:tcPr>
        <w:p w14:paraId="104303FE" w14:textId="77777777" w:rsidR="00DE406E" w:rsidRPr="0094259B" w:rsidRDefault="00DE406E" w:rsidP="003173F0">
          <w:pPr>
            <w:pStyle w:val="Footer"/>
          </w:pPr>
          <w:r>
            <w:fldChar w:fldCharType="begin"/>
          </w:r>
          <w:r>
            <w:instrText xml:space="preserve"> REF  title </w:instrText>
          </w:r>
          <w:r w:rsidR="003173F0">
            <w:instrText xml:space="preserve"> \* MERGEFORMAT </w:instrText>
          </w:r>
          <w:r>
            <w:fldChar w:fldCharType="separate"/>
          </w:r>
          <w:r w:rsidR="00A93AA6" w:rsidRPr="0093622E">
            <w:t>Communications Policy and Guidance</w:t>
          </w:r>
          <w:r w:rsidR="00A93AA6">
            <w:t xml:space="preserve"> </w:t>
          </w:r>
          <w:r>
            <w:fldChar w:fldCharType="end"/>
          </w:r>
        </w:p>
      </w:tc>
      <w:tc>
        <w:tcPr>
          <w:tcW w:w="1868" w:type="dxa"/>
          <w:vAlign w:val="bottom"/>
        </w:tcPr>
        <w:p w14:paraId="75FCD175" w14:textId="77777777" w:rsidR="00DE406E" w:rsidRPr="0094259B" w:rsidRDefault="00DE406E" w:rsidP="003173F0">
          <w:pPr>
            <w:pStyle w:val="Footer"/>
            <w:jc w:val="right"/>
          </w:pPr>
          <w:r>
            <w:fldChar w:fldCharType="begin"/>
          </w:r>
          <w:r>
            <w:instrText xml:space="preserve"> PAGE  \* Arabic  \* MERGEFORMAT </w:instrText>
          </w:r>
          <w:r>
            <w:fldChar w:fldCharType="separate"/>
          </w:r>
          <w:r>
            <w:rPr>
              <w:noProof/>
            </w:rPr>
            <w:t>1</w:t>
          </w:r>
          <w:r>
            <w:fldChar w:fldCharType="end"/>
          </w:r>
        </w:p>
      </w:tc>
    </w:tr>
  </w:tbl>
  <w:p w14:paraId="3200C355" w14:textId="77777777" w:rsidR="00DE406E" w:rsidRDefault="00DE406E" w:rsidP="00317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6F368" w14:textId="77777777" w:rsidR="00A93AA6" w:rsidRDefault="00A93AA6" w:rsidP="0090228F">
      <w:r>
        <w:separator/>
      </w:r>
    </w:p>
  </w:footnote>
  <w:footnote w:type="continuationSeparator" w:id="0">
    <w:p w14:paraId="71F198E6" w14:textId="77777777" w:rsidR="00A93AA6" w:rsidRDefault="00A93AA6" w:rsidP="00902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CF73" w14:textId="77777777" w:rsidR="00FC05BE" w:rsidRDefault="00FC0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61D4" w14:textId="77777777" w:rsidR="00081994" w:rsidRPr="00081994" w:rsidRDefault="00081994" w:rsidP="00081994">
    <w:pPr>
      <w:pStyle w:val="Header"/>
    </w:pPr>
    <w:r>
      <w:rPr>
        <w:noProof/>
      </w:rPr>
      <w:drawing>
        <wp:anchor distT="0" distB="0" distL="114300" distR="114300" simplePos="0" relativeHeight="251664384" behindDoc="0" locked="1" layoutInCell="1" allowOverlap="1" wp14:anchorId="7C68B588" wp14:editId="5809296D">
          <wp:simplePos x="0" y="0"/>
          <wp:positionH relativeFrom="page">
            <wp:posOffset>5292725</wp:posOffset>
          </wp:positionH>
          <wp:positionV relativeFrom="page">
            <wp:posOffset>428625</wp:posOffset>
          </wp:positionV>
          <wp:extent cx="1843200" cy="532800"/>
          <wp:effectExtent l="0" t="0" r="5080" b="635"/>
          <wp:wrapNone/>
          <wp:docPr id="1962499429" name="Picture 3"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3200" cy="53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26"/>
    </w:tblGrid>
    <w:tr w:rsidR="0094259B" w14:paraId="438CC740" w14:textId="77777777" w:rsidTr="0093622E">
      <w:trPr>
        <w:trHeight w:hRule="exact" w:val="4252"/>
      </w:trPr>
      <w:tc>
        <w:tcPr>
          <w:tcW w:w="7926" w:type="dxa"/>
        </w:tcPr>
        <w:p w14:paraId="3C8B3569" w14:textId="77777777" w:rsidR="0094259B" w:rsidRDefault="0094259B" w:rsidP="0090228F">
          <w:pPr>
            <w:pStyle w:val="Header"/>
          </w:pPr>
        </w:p>
      </w:tc>
    </w:tr>
  </w:tbl>
  <w:p w14:paraId="0AC4AE61" w14:textId="77777777" w:rsidR="00B11CBF" w:rsidRDefault="00C63E2F" w:rsidP="0090228F">
    <w:pPr>
      <w:pStyle w:val="Header"/>
    </w:pPr>
    <w:r>
      <w:rPr>
        <w:noProof/>
      </w:rPr>
      <mc:AlternateContent>
        <mc:Choice Requires="wps">
          <w:drawing>
            <wp:anchor distT="0" distB="0" distL="114300" distR="114300" simplePos="0" relativeHeight="251658239" behindDoc="1" locked="1" layoutInCell="1" allowOverlap="1" wp14:anchorId="728720B9" wp14:editId="44FF4926">
              <wp:simplePos x="0" y="0"/>
              <wp:positionH relativeFrom="page">
                <wp:posOffset>1127125</wp:posOffset>
              </wp:positionH>
              <wp:positionV relativeFrom="page">
                <wp:posOffset>2844165</wp:posOffset>
              </wp:positionV>
              <wp:extent cx="5986800" cy="7426800"/>
              <wp:effectExtent l="0" t="0" r="0" b="3175"/>
              <wp:wrapNone/>
              <wp:docPr id="1309642178" name="Rectangle: Rounded Corners 4"/>
              <wp:cNvGraphicFramePr/>
              <a:graphic xmlns:a="http://schemas.openxmlformats.org/drawingml/2006/main">
                <a:graphicData uri="http://schemas.microsoft.com/office/word/2010/wordprocessingShape">
                  <wps:wsp>
                    <wps:cNvSpPr/>
                    <wps:spPr>
                      <a:xfrm>
                        <a:off x="0" y="0"/>
                        <a:ext cx="5986800" cy="7426800"/>
                      </a:xfrm>
                      <a:prstGeom prst="roundRect">
                        <a:avLst>
                          <a:gd name="adj" fmla="val 2274"/>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A5F1D3" id="Rectangle: Rounded Corners 4" o:spid="_x0000_s1026" style="position:absolute;margin-left:88.75pt;margin-top:223.95pt;width:471.4pt;height:584.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4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" fillcolor="#fa8fba [3205]" stroked="f" strokeweight="1pt">
              <v:stroke joinstyle="miter"/>
              <w10:wrap anchorx="page" anchory="page"/>
              <w10:anchorlock/>
            </v:roundrect>
          </w:pict>
        </mc:Fallback>
      </mc:AlternateContent>
    </w:r>
    <w:r w:rsidR="00C92C61">
      <w:rPr>
        <w:noProof/>
      </w:rPr>
      <w:drawing>
        <wp:anchor distT="0" distB="0" distL="114300" distR="114300" simplePos="0" relativeHeight="251660288" behindDoc="0" locked="1" layoutInCell="1" allowOverlap="1" wp14:anchorId="10A61F08" wp14:editId="500142C8">
          <wp:simplePos x="0" y="0"/>
          <wp:positionH relativeFrom="page">
            <wp:posOffset>5292090</wp:posOffset>
          </wp:positionH>
          <wp:positionV relativeFrom="page">
            <wp:posOffset>427355</wp:posOffset>
          </wp:positionV>
          <wp:extent cx="1842770" cy="532765"/>
          <wp:effectExtent l="0" t="0" r="5080" b="635"/>
          <wp:wrapNone/>
          <wp:docPr id="239527461" name="Picture 3"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2770" cy="53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2A07" w14:textId="77777777" w:rsidR="0094259B" w:rsidRDefault="005530F0" w:rsidP="0090228F">
    <w:pPr>
      <w:pStyle w:val="Header"/>
    </w:pPr>
    <w:r>
      <w:rPr>
        <w:noProof/>
      </w:rPr>
      <w:drawing>
        <wp:anchor distT="0" distB="0" distL="114300" distR="114300" simplePos="0" relativeHeight="251662336" behindDoc="0" locked="1" layoutInCell="1" allowOverlap="1" wp14:anchorId="5B6BDA6E" wp14:editId="53A79DC1">
          <wp:simplePos x="0" y="0"/>
          <wp:positionH relativeFrom="page">
            <wp:posOffset>5292725</wp:posOffset>
          </wp:positionH>
          <wp:positionV relativeFrom="page">
            <wp:posOffset>428625</wp:posOffset>
          </wp:positionV>
          <wp:extent cx="1843200" cy="532800"/>
          <wp:effectExtent l="0" t="0" r="5080" b="635"/>
          <wp:wrapNone/>
          <wp:docPr id="896123326" name="Picture 3"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3200" cy="53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C249E1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C08AC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325978"/>
    <w:multiLevelType w:val="multilevel"/>
    <w:tmpl w:val="14B6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D70F54"/>
    <w:multiLevelType w:val="multilevel"/>
    <w:tmpl w:val="5DCC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904E39"/>
    <w:multiLevelType w:val="hybridMultilevel"/>
    <w:tmpl w:val="A874F53C"/>
    <w:lvl w:ilvl="0" w:tplc="2CC2811C">
      <w:start w:val="1"/>
      <w:numFmt w:val="bullet"/>
      <w:lvlText w:val=""/>
      <w:lvlJc w:val="left"/>
      <w:pPr>
        <w:tabs>
          <w:tab w:val="num" w:pos="360"/>
        </w:tabs>
        <w:ind w:left="360" w:hanging="360"/>
      </w:pPr>
      <w:rPr>
        <w:rFonts w:ascii="Symbol" w:hAnsi="Symbol" w:hint="default"/>
        <w:b w:val="0"/>
        <w:i w:val="0"/>
        <w:color w:val="auto"/>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3B15E8"/>
    <w:multiLevelType w:val="multilevel"/>
    <w:tmpl w:val="31F0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704954"/>
    <w:multiLevelType w:val="multilevel"/>
    <w:tmpl w:val="C3C0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1072DE"/>
    <w:multiLevelType w:val="hybridMultilevel"/>
    <w:tmpl w:val="24CE42AA"/>
    <w:lvl w:ilvl="0" w:tplc="C2F6EB32">
      <w:start w:val="1"/>
      <w:numFmt w:val="bullet"/>
      <w:lvlText w:val="-"/>
      <w:lvlJc w:val="left"/>
      <w:pPr>
        <w:ind w:left="643" w:hanging="360"/>
      </w:pPr>
      <w:rPr>
        <w:rFonts w:ascii="Symbol" w:hAnsi="Symbol" w:hint="default"/>
        <w:color w:val="auto"/>
        <w:sz w:val="20"/>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8" w15:restartNumberingAfterBreak="0">
    <w:nsid w:val="2D402287"/>
    <w:multiLevelType w:val="multilevel"/>
    <w:tmpl w:val="7F6A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8D267A"/>
    <w:multiLevelType w:val="multilevel"/>
    <w:tmpl w:val="99D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2E17B2"/>
    <w:multiLevelType w:val="multilevel"/>
    <w:tmpl w:val="815C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7D6E34"/>
    <w:multiLevelType w:val="multilevel"/>
    <w:tmpl w:val="421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116FA7"/>
    <w:multiLevelType w:val="multilevel"/>
    <w:tmpl w:val="508A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C92EDD"/>
    <w:multiLevelType w:val="multilevel"/>
    <w:tmpl w:val="0F4A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D21A7D"/>
    <w:multiLevelType w:val="multilevel"/>
    <w:tmpl w:val="CE32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5D37AD"/>
    <w:multiLevelType w:val="multilevel"/>
    <w:tmpl w:val="70E8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20328D"/>
    <w:multiLevelType w:val="multilevel"/>
    <w:tmpl w:val="34F8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505A29"/>
    <w:multiLevelType w:val="multilevel"/>
    <w:tmpl w:val="FB4C2162"/>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A29403B"/>
    <w:multiLevelType w:val="hybridMultilevel"/>
    <w:tmpl w:val="34FCFDEE"/>
    <w:lvl w:ilvl="0" w:tplc="E1C0FF62">
      <w:start w:val="1"/>
      <w:numFmt w:val="bullet"/>
      <w:lvlText w:val="-"/>
      <w:lvlJc w:val="left"/>
      <w:pPr>
        <w:tabs>
          <w:tab w:val="num" w:pos="360"/>
        </w:tabs>
        <w:ind w:left="360" w:hanging="360"/>
      </w:pPr>
      <w:rPr>
        <w:rFonts w:ascii="Symbol" w:hAnsi="Symbol" w:hint="default"/>
        <w:b w:val="0"/>
        <w:i w:val="0"/>
        <w:color w:val="auto"/>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8CA1710"/>
    <w:multiLevelType w:val="multilevel"/>
    <w:tmpl w:val="D19E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D36DD2"/>
    <w:multiLevelType w:val="multilevel"/>
    <w:tmpl w:val="B46A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53148C"/>
    <w:multiLevelType w:val="multilevel"/>
    <w:tmpl w:val="0506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F7408E"/>
    <w:multiLevelType w:val="multilevel"/>
    <w:tmpl w:val="7E8A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2B742B"/>
    <w:multiLevelType w:val="multilevel"/>
    <w:tmpl w:val="BE42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513FA3"/>
    <w:multiLevelType w:val="multilevel"/>
    <w:tmpl w:val="276E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1C40F4"/>
    <w:multiLevelType w:val="hybridMultilevel"/>
    <w:tmpl w:val="9702ACB6"/>
    <w:lvl w:ilvl="0" w:tplc="A66C22A2">
      <w:start w:val="1"/>
      <w:numFmt w:val="bullet"/>
      <w:lvlText w:val=""/>
      <w:lvlJc w:val="left"/>
      <w:pPr>
        <w:tabs>
          <w:tab w:val="num" w:pos="360"/>
        </w:tabs>
        <w:ind w:left="360" w:hanging="360"/>
      </w:pPr>
      <w:rPr>
        <w:rFonts w:ascii="Symbol" w:hAnsi="Symbo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0724B2"/>
    <w:multiLevelType w:val="multilevel"/>
    <w:tmpl w:val="18944D6A"/>
    <w:lvl w:ilvl="0">
      <w:start w:val="1"/>
      <w:numFmt w:val="bullet"/>
      <w:pStyle w:val="ListBullet"/>
      <w:lvlText w:val=""/>
      <w:lvlJc w:val="left"/>
      <w:pPr>
        <w:tabs>
          <w:tab w:val="num" w:pos="397"/>
        </w:tabs>
        <w:ind w:left="360" w:hanging="360"/>
      </w:pPr>
      <w:rPr>
        <w:rFonts w:ascii="Symbol" w:hAnsi="Symbol" w:hint="default"/>
        <w:b w:val="0"/>
        <w:i w:val="0"/>
        <w:color w:val="auto"/>
        <w:sz w:val="12"/>
      </w:rPr>
    </w:lvl>
    <w:lvl w:ilvl="1">
      <w:start w:val="1"/>
      <w:numFmt w:val="bullet"/>
      <w:pStyle w:val="ListBullet2"/>
      <w:lvlText w:val="–"/>
      <w:lvlJc w:val="left"/>
      <w:pPr>
        <w:tabs>
          <w:tab w:val="num" w:pos="1077"/>
        </w:tabs>
        <w:ind w:left="680" w:hanging="283"/>
      </w:pPr>
      <w:rPr>
        <w:rFonts w:ascii="Inter Light" w:hAnsi="Inter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4C15D20"/>
    <w:multiLevelType w:val="multilevel"/>
    <w:tmpl w:val="B408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6E20DE"/>
    <w:multiLevelType w:val="multilevel"/>
    <w:tmpl w:val="26D0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CE5AC7"/>
    <w:multiLevelType w:val="multilevel"/>
    <w:tmpl w:val="1B96BB50"/>
    <w:lvl w:ilvl="0">
      <w:start w:val="1"/>
      <w:numFmt w:val="bullet"/>
      <w:lvlText w:val=""/>
      <w:lvlJc w:val="left"/>
      <w:pPr>
        <w:tabs>
          <w:tab w:val="num" w:pos="360"/>
        </w:tabs>
        <w:ind w:left="360" w:hanging="360"/>
      </w:pPr>
      <w:rPr>
        <w:rFonts w:ascii="Symbol" w:hAnsi="Symbol" w:hint="default"/>
        <w:b w:val="0"/>
        <w:i w:val="0"/>
        <w:color w:val="auto"/>
        <w:sz w:val="12"/>
      </w:rPr>
    </w:lvl>
    <w:lvl w:ilvl="1">
      <w:start w:val="1"/>
      <w:numFmt w:val="bullet"/>
      <w:lvlText w:val="–"/>
      <w:lvlJc w:val="left"/>
      <w:pPr>
        <w:ind w:left="1440" w:hanging="360"/>
      </w:pPr>
      <w:rPr>
        <w:rFonts w:ascii="Inter Light" w:hAnsi="Inter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3F236D"/>
    <w:multiLevelType w:val="multilevel"/>
    <w:tmpl w:val="76F2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B23585"/>
    <w:multiLevelType w:val="multilevel"/>
    <w:tmpl w:val="D1E0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1003048">
    <w:abstractNumId w:val="1"/>
  </w:num>
  <w:num w:numId="2" w16cid:durableId="68844050">
    <w:abstractNumId w:val="25"/>
  </w:num>
  <w:num w:numId="3" w16cid:durableId="954676308">
    <w:abstractNumId w:val="4"/>
  </w:num>
  <w:num w:numId="4" w16cid:durableId="1822502620">
    <w:abstractNumId w:val="26"/>
  </w:num>
  <w:num w:numId="5" w16cid:durableId="1048072335">
    <w:abstractNumId w:val="0"/>
  </w:num>
  <w:num w:numId="6" w16cid:durableId="327755872">
    <w:abstractNumId w:val="7"/>
  </w:num>
  <w:num w:numId="7" w16cid:durableId="1586375105">
    <w:abstractNumId w:val="18"/>
  </w:num>
  <w:num w:numId="8" w16cid:durableId="7931833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7517764">
    <w:abstractNumId w:val="29"/>
  </w:num>
  <w:num w:numId="10" w16cid:durableId="165292711">
    <w:abstractNumId w:val="12"/>
  </w:num>
  <w:num w:numId="11" w16cid:durableId="423918422">
    <w:abstractNumId w:val="30"/>
  </w:num>
  <w:num w:numId="12" w16cid:durableId="463230662">
    <w:abstractNumId w:val="19"/>
  </w:num>
  <w:num w:numId="13" w16cid:durableId="1042171906">
    <w:abstractNumId w:val="8"/>
  </w:num>
  <w:num w:numId="14" w16cid:durableId="204951086">
    <w:abstractNumId w:val="9"/>
  </w:num>
  <w:num w:numId="15" w16cid:durableId="1001544418">
    <w:abstractNumId w:val="2"/>
  </w:num>
  <w:num w:numId="16" w16cid:durableId="1149009784">
    <w:abstractNumId w:val="20"/>
  </w:num>
  <w:num w:numId="17" w16cid:durableId="631792491">
    <w:abstractNumId w:val="10"/>
  </w:num>
  <w:num w:numId="18" w16cid:durableId="1951933098">
    <w:abstractNumId w:val="23"/>
  </w:num>
  <w:num w:numId="19" w16cid:durableId="1223252499">
    <w:abstractNumId w:val="28"/>
  </w:num>
  <w:num w:numId="20" w16cid:durableId="1940484562">
    <w:abstractNumId w:val="24"/>
  </w:num>
  <w:num w:numId="21" w16cid:durableId="730343665">
    <w:abstractNumId w:val="22"/>
  </w:num>
  <w:num w:numId="22" w16cid:durableId="1359311606">
    <w:abstractNumId w:val="21"/>
  </w:num>
  <w:num w:numId="23" w16cid:durableId="576478328">
    <w:abstractNumId w:val="6"/>
  </w:num>
  <w:num w:numId="24" w16cid:durableId="1120027870">
    <w:abstractNumId w:val="14"/>
  </w:num>
  <w:num w:numId="25" w16cid:durableId="1297760863">
    <w:abstractNumId w:val="13"/>
  </w:num>
  <w:num w:numId="26" w16cid:durableId="1033307728">
    <w:abstractNumId w:val="31"/>
  </w:num>
  <w:num w:numId="27" w16cid:durableId="3090385">
    <w:abstractNumId w:val="16"/>
  </w:num>
  <w:num w:numId="28" w16cid:durableId="1092630142">
    <w:abstractNumId w:val="11"/>
  </w:num>
  <w:num w:numId="29" w16cid:durableId="1714697235">
    <w:abstractNumId w:val="15"/>
  </w:num>
  <w:num w:numId="30" w16cid:durableId="1985890258">
    <w:abstractNumId w:val="3"/>
  </w:num>
  <w:num w:numId="31" w16cid:durableId="505479688">
    <w:abstractNumId w:val="27"/>
  </w:num>
  <w:num w:numId="32" w16cid:durableId="1567884095">
    <w:abstractNumId w:val="5"/>
  </w:num>
  <w:num w:numId="33" w16cid:durableId="2027636862">
    <w:abstractNumId w:val="26"/>
  </w:num>
  <w:num w:numId="34" w16cid:durableId="489323597">
    <w:abstractNumId w:val="17"/>
  </w:num>
  <w:num w:numId="35" w16cid:durableId="1954433226">
    <w:abstractNumId w:val="26"/>
  </w:num>
  <w:num w:numId="36" w16cid:durableId="1895115827">
    <w:abstractNumId w:val="26"/>
  </w:num>
  <w:num w:numId="37" w16cid:durableId="2125463981">
    <w:abstractNumId w:val="26"/>
  </w:num>
  <w:num w:numId="38" w16cid:durableId="242685452">
    <w:abstractNumId w:val="26"/>
  </w:num>
  <w:num w:numId="39" w16cid:durableId="18887117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A6"/>
    <w:rsid w:val="00061763"/>
    <w:rsid w:val="00081994"/>
    <w:rsid w:val="000834E6"/>
    <w:rsid w:val="0009287E"/>
    <w:rsid w:val="000C7F4D"/>
    <w:rsid w:val="000E3706"/>
    <w:rsid w:val="000E412A"/>
    <w:rsid w:val="0012596B"/>
    <w:rsid w:val="00163D89"/>
    <w:rsid w:val="001A7915"/>
    <w:rsid w:val="001D0202"/>
    <w:rsid w:val="001E1F49"/>
    <w:rsid w:val="00216AD6"/>
    <w:rsid w:val="00304762"/>
    <w:rsid w:val="003173F0"/>
    <w:rsid w:val="003978A5"/>
    <w:rsid w:val="003C0DBF"/>
    <w:rsid w:val="00417551"/>
    <w:rsid w:val="004705B8"/>
    <w:rsid w:val="005530F0"/>
    <w:rsid w:val="00627759"/>
    <w:rsid w:val="006A282D"/>
    <w:rsid w:val="006C1BCD"/>
    <w:rsid w:val="006C43FC"/>
    <w:rsid w:val="006D17EF"/>
    <w:rsid w:val="007E4014"/>
    <w:rsid w:val="008B356F"/>
    <w:rsid w:val="008E3267"/>
    <w:rsid w:val="008F5690"/>
    <w:rsid w:val="0090228F"/>
    <w:rsid w:val="0093622E"/>
    <w:rsid w:val="0094259B"/>
    <w:rsid w:val="009B74C1"/>
    <w:rsid w:val="009C7D8C"/>
    <w:rsid w:val="00A70788"/>
    <w:rsid w:val="00A83694"/>
    <w:rsid w:val="00A93AA6"/>
    <w:rsid w:val="00AB4BD5"/>
    <w:rsid w:val="00B11CBF"/>
    <w:rsid w:val="00B62254"/>
    <w:rsid w:val="00BB6250"/>
    <w:rsid w:val="00C63E2F"/>
    <w:rsid w:val="00C8411B"/>
    <w:rsid w:val="00C92C61"/>
    <w:rsid w:val="00CB0D1A"/>
    <w:rsid w:val="00D13480"/>
    <w:rsid w:val="00D33059"/>
    <w:rsid w:val="00D70F06"/>
    <w:rsid w:val="00DC716A"/>
    <w:rsid w:val="00DD5AB7"/>
    <w:rsid w:val="00DE406E"/>
    <w:rsid w:val="00E1002F"/>
    <w:rsid w:val="00E82328"/>
    <w:rsid w:val="00E95804"/>
    <w:rsid w:val="00F055DE"/>
    <w:rsid w:val="00F57B88"/>
    <w:rsid w:val="00F57C1B"/>
    <w:rsid w:val="00F67DDF"/>
    <w:rsid w:val="00FC0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150C9"/>
  <w15:chartTrackingRefBased/>
  <w15:docId w15:val="{9D5913E8-F3D6-49C1-9EC4-12E8A818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unhideWhenUsed="1" w:qFormat="1"/>
    <w:lsdException w:name="List Number" w:semiHidden="1"/>
    <w:lsdException w:name="List 2" w:semiHidden="1" w:unhideWhenUsed="1"/>
    <w:lsdException w:name="List 3" w:semiHidden="1"/>
    <w:lsdException w:name="List 4" w:semiHidden="1"/>
    <w:lsdException w:name="List 5" w:semiHidden="1"/>
    <w:lsdException w:name="List Bullet 2" w:semiHidden="1" w:unhideWhenUsed="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57C1B"/>
    <w:pPr>
      <w:spacing w:after="0" w:line="320" w:lineRule="atLeast"/>
    </w:pPr>
    <w:rPr>
      <w:rFonts w:ascii="Inter" w:hAnsi="Inter"/>
      <w:sz w:val="21"/>
    </w:rPr>
  </w:style>
  <w:style w:type="paragraph" w:styleId="Heading1">
    <w:name w:val="heading 1"/>
    <w:basedOn w:val="Title"/>
    <w:next w:val="Normal"/>
    <w:link w:val="Heading1Char"/>
    <w:uiPriority w:val="9"/>
    <w:qFormat/>
    <w:rsid w:val="005530F0"/>
    <w:pPr>
      <w:spacing w:after="360" w:line="320" w:lineRule="atLeast"/>
      <w:ind w:left="0"/>
      <w:outlineLvl w:val="0"/>
    </w:pPr>
    <w:rPr>
      <w:sz w:val="28"/>
    </w:rPr>
  </w:style>
  <w:style w:type="paragraph" w:styleId="Heading2">
    <w:name w:val="heading 2"/>
    <w:basedOn w:val="Heading1"/>
    <w:next w:val="Normal"/>
    <w:link w:val="Heading2Char"/>
    <w:uiPriority w:val="9"/>
    <w:unhideWhenUsed/>
    <w:qFormat/>
    <w:rsid w:val="00061763"/>
    <w:pPr>
      <w:spacing w:before="940" w:after="160"/>
      <w:outlineLvl w:val="1"/>
    </w:pPr>
  </w:style>
  <w:style w:type="paragraph" w:styleId="Heading3">
    <w:name w:val="heading 3"/>
    <w:basedOn w:val="Normal"/>
    <w:next w:val="Normal"/>
    <w:link w:val="Heading3Char"/>
    <w:uiPriority w:val="9"/>
    <w:unhideWhenUsed/>
    <w:qFormat/>
    <w:rsid w:val="00A83694"/>
    <w:pPr>
      <w:outlineLvl w:val="2"/>
    </w:pPr>
    <w:rPr>
      <w:rFonts w:asciiTheme="majorHAnsi" w:hAnsiTheme="majorHAnsi"/>
      <w:b/>
      <w:bCs/>
      <w:color w:val="6B2E36" w:themeColor="text2"/>
    </w:rPr>
  </w:style>
  <w:style w:type="paragraph" w:styleId="Heading4">
    <w:name w:val="heading 4"/>
    <w:basedOn w:val="Normal"/>
    <w:next w:val="Normal"/>
    <w:link w:val="Heading4Char"/>
    <w:uiPriority w:val="9"/>
    <w:semiHidden/>
    <w:rsid w:val="00B11CBF"/>
    <w:pPr>
      <w:keepNext/>
      <w:keepLines/>
      <w:spacing w:before="80" w:after="40"/>
      <w:outlineLvl w:val="3"/>
    </w:pPr>
    <w:rPr>
      <w:rFonts w:eastAsiaTheme="majorEastAsia" w:cstheme="majorBidi"/>
      <w:i/>
      <w:iCs/>
      <w:color w:val="4F2228" w:themeColor="accent1" w:themeShade="BF"/>
    </w:rPr>
  </w:style>
  <w:style w:type="paragraph" w:styleId="Heading5">
    <w:name w:val="heading 5"/>
    <w:basedOn w:val="Normal"/>
    <w:next w:val="Normal"/>
    <w:link w:val="Heading5Char"/>
    <w:uiPriority w:val="9"/>
    <w:semiHidden/>
    <w:qFormat/>
    <w:rsid w:val="00B11CBF"/>
    <w:pPr>
      <w:keepNext/>
      <w:keepLines/>
      <w:spacing w:before="80" w:after="40"/>
      <w:outlineLvl w:val="4"/>
    </w:pPr>
    <w:rPr>
      <w:rFonts w:eastAsiaTheme="majorEastAsia" w:cstheme="majorBidi"/>
      <w:color w:val="4F2228" w:themeColor="accent1" w:themeShade="BF"/>
    </w:rPr>
  </w:style>
  <w:style w:type="paragraph" w:styleId="Heading6">
    <w:name w:val="heading 6"/>
    <w:basedOn w:val="Normal"/>
    <w:next w:val="Normal"/>
    <w:link w:val="Heading6Char"/>
    <w:uiPriority w:val="9"/>
    <w:semiHidden/>
    <w:qFormat/>
    <w:rsid w:val="00B11C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B11C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B11C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B11C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0F0"/>
    <w:rPr>
      <w:rFonts w:ascii="Inter" w:eastAsiaTheme="majorEastAsia" w:hAnsi="Inter" w:cstheme="majorBidi"/>
      <w:b/>
      <w:bCs/>
      <w:color w:val="6B2E36" w:themeColor="text2"/>
      <w:kern w:val="28"/>
      <w:sz w:val="28"/>
      <w:szCs w:val="56"/>
    </w:rPr>
  </w:style>
  <w:style w:type="character" w:customStyle="1" w:styleId="Heading2Char">
    <w:name w:val="Heading 2 Char"/>
    <w:basedOn w:val="DefaultParagraphFont"/>
    <w:link w:val="Heading2"/>
    <w:uiPriority w:val="9"/>
    <w:rsid w:val="00061763"/>
    <w:rPr>
      <w:rFonts w:ascii="Inter" w:eastAsiaTheme="majorEastAsia" w:hAnsi="Inter" w:cstheme="majorBidi"/>
      <w:b/>
      <w:bCs/>
      <w:color w:val="6B2E36" w:themeColor="text2"/>
      <w:kern w:val="28"/>
      <w:sz w:val="28"/>
      <w:szCs w:val="56"/>
    </w:rPr>
  </w:style>
  <w:style w:type="character" w:customStyle="1" w:styleId="Heading3Char">
    <w:name w:val="Heading 3 Char"/>
    <w:basedOn w:val="DefaultParagraphFont"/>
    <w:link w:val="Heading3"/>
    <w:uiPriority w:val="9"/>
    <w:rsid w:val="009C7D8C"/>
    <w:rPr>
      <w:rFonts w:asciiTheme="majorHAnsi" w:hAnsiTheme="majorHAnsi"/>
      <w:b/>
      <w:bCs/>
      <w:color w:val="6B2E36" w:themeColor="text2"/>
      <w:sz w:val="21"/>
    </w:rPr>
  </w:style>
  <w:style w:type="character" w:customStyle="1" w:styleId="Heading4Char">
    <w:name w:val="Heading 4 Char"/>
    <w:basedOn w:val="DefaultParagraphFont"/>
    <w:link w:val="Heading4"/>
    <w:uiPriority w:val="9"/>
    <w:semiHidden/>
    <w:rsid w:val="00F57C1B"/>
    <w:rPr>
      <w:rFonts w:ascii="Inter" w:eastAsiaTheme="majorEastAsia" w:hAnsi="Inter" w:cstheme="majorBidi"/>
      <w:i/>
      <w:iCs/>
      <w:color w:val="4F2228" w:themeColor="accent1" w:themeShade="BF"/>
      <w:sz w:val="21"/>
    </w:rPr>
  </w:style>
  <w:style w:type="character" w:customStyle="1" w:styleId="Heading5Char">
    <w:name w:val="Heading 5 Char"/>
    <w:basedOn w:val="DefaultParagraphFont"/>
    <w:link w:val="Heading5"/>
    <w:uiPriority w:val="9"/>
    <w:semiHidden/>
    <w:rsid w:val="00F57C1B"/>
    <w:rPr>
      <w:rFonts w:ascii="Inter" w:eastAsiaTheme="majorEastAsia" w:hAnsi="Inter" w:cstheme="majorBidi"/>
      <w:color w:val="4F2228" w:themeColor="accent1" w:themeShade="BF"/>
      <w:sz w:val="21"/>
    </w:rPr>
  </w:style>
  <w:style w:type="character" w:customStyle="1" w:styleId="Heading6Char">
    <w:name w:val="Heading 6 Char"/>
    <w:basedOn w:val="DefaultParagraphFont"/>
    <w:link w:val="Heading6"/>
    <w:uiPriority w:val="9"/>
    <w:semiHidden/>
    <w:rsid w:val="00F57C1B"/>
    <w:rPr>
      <w:rFonts w:ascii="Inter" w:eastAsiaTheme="majorEastAsia" w:hAnsi="Inter" w:cstheme="majorBidi"/>
      <w:i/>
      <w:iCs/>
      <w:color w:val="595959" w:themeColor="text1" w:themeTint="A6"/>
      <w:sz w:val="21"/>
    </w:rPr>
  </w:style>
  <w:style w:type="character" w:customStyle="1" w:styleId="Heading7Char">
    <w:name w:val="Heading 7 Char"/>
    <w:basedOn w:val="DefaultParagraphFont"/>
    <w:link w:val="Heading7"/>
    <w:uiPriority w:val="9"/>
    <w:semiHidden/>
    <w:rsid w:val="00F57C1B"/>
    <w:rPr>
      <w:rFonts w:ascii="Inter" w:eastAsiaTheme="majorEastAsia" w:hAnsi="Inter" w:cstheme="majorBidi"/>
      <w:color w:val="595959" w:themeColor="text1" w:themeTint="A6"/>
      <w:sz w:val="21"/>
    </w:rPr>
  </w:style>
  <w:style w:type="character" w:customStyle="1" w:styleId="Heading8Char">
    <w:name w:val="Heading 8 Char"/>
    <w:basedOn w:val="DefaultParagraphFont"/>
    <w:link w:val="Heading8"/>
    <w:uiPriority w:val="9"/>
    <w:semiHidden/>
    <w:rsid w:val="00F57C1B"/>
    <w:rPr>
      <w:rFonts w:ascii="Inter" w:eastAsiaTheme="majorEastAsia" w:hAnsi="Inter" w:cstheme="majorBidi"/>
      <w:i/>
      <w:iCs/>
      <w:color w:val="272727" w:themeColor="text1" w:themeTint="D8"/>
      <w:sz w:val="21"/>
    </w:rPr>
  </w:style>
  <w:style w:type="character" w:customStyle="1" w:styleId="Heading9Char">
    <w:name w:val="Heading 9 Char"/>
    <w:basedOn w:val="DefaultParagraphFont"/>
    <w:link w:val="Heading9"/>
    <w:uiPriority w:val="9"/>
    <w:semiHidden/>
    <w:rsid w:val="00F57C1B"/>
    <w:rPr>
      <w:rFonts w:ascii="Inter" w:eastAsiaTheme="majorEastAsia" w:hAnsi="Inter" w:cstheme="majorBidi"/>
      <w:color w:val="272727" w:themeColor="text1" w:themeTint="D8"/>
      <w:sz w:val="21"/>
    </w:rPr>
  </w:style>
  <w:style w:type="paragraph" w:styleId="Title">
    <w:name w:val="Title"/>
    <w:basedOn w:val="Normal"/>
    <w:next w:val="Normal"/>
    <w:link w:val="TitleChar"/>
    <w:uiPriority w:val="10"/>
    <w:qFormat/>
    <w:rsid w:val="0093622E"/>
    <w:pPr>
      <w:spacing w:line="720" w:lineRule="exact"/>
      <w:ind w:left="113"/>
      <w:contextualSpacing/>
    </w:pPr>
    <w:rPr>
      <w:rFonts w:eastAsiaTheme="majorEastAsia" w:cstheme="majorBidi"/>
      <w:b/>
      <w:bCs/>
      <w:color w:val="6B2E36" w:themeColor="text2"/>
      <w:kern w:val="28"/>
      <w:sz w:val="64"/>
      <w:szCs w:val="56"/>
    </w:rPr>
  </w:style>
  <w:style w:type="character" w:customStyle="1" w:styleId="TitleChar">
    <w:name w:val="Title Char"/>
    <w:basedOn w:val="DefaultParagraphFont"/>
    <w:link w:val="Title"/>
    <w:uiPriority w:val="10"/>
    <w:rsid w:val="0093622E"/>
    <w:rPr>
      <w:rFonts w:ascii="Inter" w:eastAsiaTheme="majorEastAsia" w:hAnsi="Inter" w:cstheme="majorBidi"/>
      <w:b/>
      <w:bCs/>
      <w:color w:val="6B2E36" w:themeColor="text2"/>
      <w:kern w:val="28"/>
      <w:sz w:val="64"/>
      <w:szCs w:val="56"/>
    </w:rPr>
  </w:style>
  <w:style w:type="paragraph" w:styleId="Subtitle">
    <w:name w:val="Subtitle"/>
    <w:basedOn w:val="Normal"/>
    <w:next w:val="Normal"/>
    <w:link w:val="SubtitleChar"/>
    <w:uiPriority w:val="11"/>
    <w:qFormat/>
    <w:rsid w:val="00A83694"/>
    <w:pPr>
      <w:spacing w:before="360"/>
      <w:ind w:left="113"/>
      <w:contextualSpacing/>
    </w:pPr>
    <w:rPr>
      <w:rFonts w:asciiTheme="majorHAnsi" w:hAnsiTheme="majorHAnsi"/>
      <w:b/>
      <w:bCs/>
      <w:color w:val="6B2E36" w:themeColor="text2"/>
    </w:rPr>
  </w:style>
  <w:style w:type="character" w:customStyle="1" w:styleId="SubtitleChar">
    <w:name w:val="Subtitle Char"/>
    <w:basedOn w:val="DefaultParagraphFont"/>
    <w:link w:val="Subtitle"/>
    <w:uiPriority w:val="11"/>
    <w:rsid w:val="00F57C1B"/>
    <w:rPr>
      <w:rFonts w:asciiTheme="majorHAnsi" w:hAnsiTheme="majorHAnsi"/>
      <w:b/>
      <w:bCs/>
      <w:color w:val="6B2E36" w:themeColor="text2"/>
      <w:sz w:val="21"/>
    </w:rPr>
  </w:style>
  <w:style w:type="paragraph" w:styleId="Quote">
    <w:name w:val="Quote"/>
    <w:basedOn w:val="Normal"/>
    <w:next w:val="Normal"/>
    <w:link w:val="QuoteChar"/>
    <w:uiPriority w:val="29"/>
    <w:semiHidden/>
    <w:rsid w:val="00B11CBF"/>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F57C1B"/>
    <w:rPr>
      <w:rFonts w:ascii="Inter" w:hAnsi="Inter"/>
      <w:i/>
      <w:iCs/>
      <w:color w:val="404040" w:themeColor="text1" w:themeTint="BF"/>
      <w:sz w:val="21"/>
    </w:rPr>
  </w:style>
  <w:style w:type="paragraph" w:styleId="ListParagraph">
    <w:name w:val="List Paragraph"/>
    <w:basedOn w:val="Normal"/>
    <w:uiPriority w:val="34"/>
    <w:semiHidden/>
    <w:rsid w:val="00B11CBF"/>
    <w:pPr>
      <w:ind w:left="720"/>
      <w:contextualSpacing/>
    </w:pPr>
  </w:style>
  <w:style w:type="character" w:styleId="IntenseEmphasis">
    <w:name w:val="Intense Emphasis"/>
    <w:basedOn w:val="DefaultParagraphFont"/>
    <w:uiPriority w:val="21"/>
    <w:semiHidden/>
    <w:rsid w:val="00B11CBF"/>
    <w:rPr>
      <w:i/>
      <w:iCs/>
      <w:color w:val="4F2228" w:themeColor="accent1" w:themeShade="BF"/>
    </w:rPr>
  </w:style>
  <w:style w:type="paragraph" w:styleId="IntenseQuote">
    <w:name w:val="Intense Quote"/>
    <w:basedOn w:val="Normal"/>
    <w:next w:val="Normal"/>
    <w:link w:val="IntenseQuoteChar"/>
    <w:uiPriority w:val="30"/>
    <w:semiHidden/>
    <w:rsid w:val="00B11CBF"/>
    <w:pPr>
      <w:pBdr>
        <w:top w:val="single" w:sz="4" w:space="10" w:color="4F2228" w:themeColor="accent1" w:themeShade="BF"/>
        <w:bottom w:val="single" w:sz="4" w:space="10" w:color="4F2228" w:themeColor="accent1" w:themeShade="BF"/>
      </w:pBdr>
      <w:spacing w:before="360" w:after="360"/>
      <w:ind w:left="864" w:right="864"/>
      <w:jc w:val="center"/>
    </w:pPr>
    <w:rPr>
      <w:i/>
      <w:iCs/>
      <w:color w:val="4F2228" w:themeColor="accent1" w:themeShade="BF"/>
    </w:rPr>
  </w:style>
  <w:style w:type="character" w:customStyle="1" w:styleId="IntenseQuoteChar">
    <w:name w:val="Intense Quote Char"/>
    <w:basedOn w:val="DefaultParagraphFont"/>
    <w:link w:val="IntenseQuote"/>
    <w:uiPriority w:val="30"/>
    <w:semiHidden/>
    <w:rsid w:val="00F57C1B"/>
    <w:rPr>
      <w:rFonts w:ascii="Inter" w:hAnsi="Inter"/>
      <w:i/>
      <w:iCs/>
      <w:color w:val="4F2228" w:themeColor="accent1" w:themeShade="BF"/>
      <w:sz w:val="21"/>
    </w:rPr>
  </w:style>
  <w:style w:type="character" w:styleId="IntenseReference">
    <w:name w:val="Intense Reference"/>
    <w:basedOn w:val="DefaultParagraphFont"/>
    <w:uiPriority w:val="32"/>
    <w:semiHidden/>
    <w:rsid w:val="00B11CBF"/>
    <w:rPr>
      <w:b/>
      <w:bCs/>
      <w:smallCaps/>
      <w:color w:val="4F2228" w:themeColor="accent1" w:themeShade="BF"/>
      <w:spacing w:val="5"/>
    </w:rPr>
  </w:style>
  <w:style w:type="paragraph" w:styleId="Header">
    <w:name w:val="header"/>
    <w:basedOn w:val="Normal"/>
    <w:link w:val="HeaderChar"/>
    <w:uiPriority w:val="99"/>
    <w:unhideWhenUsed/>
    <w:rsid w:val="00B11CBF"/>
    <w:pPr>
      <w:tabs>
        <w:tab w:val="center" w:pos="4513"/>
        <w:tab w:val="right" w:pos="9026"/>
      </w:tabs>
      <w:spacing w:line="240" w:lineRule="auto"/>
    </w:pPr>
  </w:style>
  <w:style w:type="character" w:customStyle="1" w:styleId="HeaderChar">
    <w:name w:val="Header Char"/>
    <w:basedOn w:val="DefaultParagraphFont"/>
    <w:link w:val="Header"/>
    <w:uiPriority w:val="99"/>
    <w:rsid w:val="00B11CBF"/>
  </w:style>
  <w:style w:type="paragraph" w:styleId="Footer">
    <w:name w:val="footer"/>
    <w:basedOn w:val="Normal"/>
    <w:link w:val="FooterChar"/>
    <w:uiPriority w:val="99"/>
    <w:unhideWhenUsed/>
    <w:rsid w:val="0012596B"/>
    <w:pPr>
      <w:tabs>
        <w:tab w:val="center" w:pos="4513"/>
        <w:tab w:val="right" w:pos="9026"/>
      </w:tabs>
      <w:spacing w:line="200" w:lineRule="atLeast"/>
    </w:pPr>
    <w:rPr>
      <w:sz w:val="16"/>
    </w:rPr>
  </w:style>
  <w:style w:type="character" w:customStyle="1" w:styleId="FooterChar">
    <w:name w:val="Footer Char"/>
    <w:basedOn w:val="DefaultParagraphFont"/>
    <w:link w:val="Footer"/>
    <w:uiPriority w:val="99"/>
    <w:rsid w:val="0012596B"/>
    <w:rPr>
      <w:rFonts w:ascii="Inter" w:hAnsi="Inter"/>
      <w:sz w:val="16"/>
    </w:rPr>
  </w:style>
  <w:style w:type="table" w:styleId="TableGrid">
    <w:name w:val="Table Grid"/>
    <w:basedOn w:val="TableNormal"/>
    <w:uiPriority w:val="39"/>
    <w:rsid w:val="00942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qFormat/>
    <w:rsid w:val="00061763"/>
    <w:pPr>
      <w:numPr>
        <w:numId w:val="4"/>
      </w:numPr>
      <w:pBdr>
        <w:bottom w:val="single" w:sz="2" w:space="5" w:color="auto"/>
        <w:between w:val="single" w:sz="2" w:space="5" w:color="auto"/>
      </w:pBdr>
      <w:spacing w:after="120"/>
      <w:ind w:right="28"/>
      <w:contextualSpacing/>
    </w:pPr>
  </w:style>
  <w:style w:type="paragraph" w:styleId="FootnoteText">
    <w:name w:val="footnote text"/>
    <w:basedOn w:val="Normal"/>
    <w:link w:val="FootnoteTextChar"/>
    <w:uiPriority w:val="99"/>
    <w:unhideWhenUsed/>
    <w:rsid w:val="001A7915"/>
    <w:pPr>
      <w:tabs>
        <w:tab w:val="left" w:pos="709"/>
      </w:tabs>
      <w:spacing w:line="240" w:lineRule="atLeast"/>
    </w:pPr>
    <w:rPr>
      <w:sz w:val="18"/>
      <w:szCs w:val="20"/>
    </w:rPr>
  </w:style>
  <w:style w:type="character" w:customStyle="1" w:styleId="FootnoteTextChar">
    <w:name w:val="Footnote Text Char"/>
    <w:basedOn w:val="DefaultParagraphFont"/>
    <w:link w:val="FootnoteText"/>
    <w:uiPriority w:val="99"/>
    <w:rsid w:val="001A7915"/>
    <w:rPr>
      <w:rFonts w:ascii="Inter" w:hAnsi="Inter"/>
      <w:sz w:val="18"/>
      <w:szCs w:val="20"/>
    </w:rPr>
  </w:style>
  <w:style w:type="character" w:styleId="FootnoteReference">
    <w:name w:val="footnote reference"/>
    <w:basedOn w:val="DefaultParagraphFont"/>
    <w:uiPriority w:val="99"/>
    <w:semiHidden/>
    <w:rsid w:val="00F055DE"/>
    <w:rPr>
      <w:vertAlign w:val="superscript"/>
    </w:rPr>
  </w:style>
  <w:style w:type="paragraph" w:styleId="ListBullet2">
    <w:name w:val="List Bullet 2"/>
    <w:basedOn w:val="ListBullet"/>
    <w:uiPriority w:val="99"/>
    <w:qFormat/>
    <w:rsid w:val="003173F0"/>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henrysmithcharity.sharepoint.com/sites/OrganisationAssets/Templates/Policy_Guidance_Template_.dotx" TargetMode="External"/></Relationships>
</file>

<file path=word/theme/theme1.xml><?xml version="1.0" encoding="utf-8"?>
<a:theme xmlns:a="http://schemas.openxmlformats.org/drawingml/2006/main" name="Office Theme">
  <a:themeElements>
    <a:clrScheme name="HSF Theme Colours">
      <a:dk1>
        <a:sysClr val="windowText" lastClr="000000"/>
      </a:dk1>
      <a:lt1>
        <a:sysClr val="window" lastClr="FFFFFF"/>
      </a:lt1>
      <a:dk2>
        <a:srgbClr val="6B2E36"/>
      </a:dk2>
      <a:lt2>
        <a:srgbClr val="FFDEDE"/>
      </a:lt2>
      <a:accent1>
        <a:srgbClr val="6B2E36"/>
      </a:accent1>
      <a:accent2>
        <a:srgbClr val="FA8FBA"/>
      </a:accent2>
      <a:accent3>
        <a:srgbClr val="F6ACC9"/>
      </a:accent3>
      <a:accent4>
        <a:srgbClr val="FAC3D8"/>
      </a:accent4>
      <a:accent5>
        <a:srgbClr val="FFDEDE"/>
      </a:accent5>
      <a:accent6>
        <a:srgbClr val="4E2227"/>
      </a:accent6>
      <a:hlink>
        <a:srgbClr val="000000"/>
      </a:hlink>
      <a:folHlink>
        <a:srgbClr val="F6ACC9"/>
      </a:folHlink>
    </a:clrScheme>
    <a:fontScheme name="HSF Theme Fonts">
      <a:majorFont>
        <a:latin typeface="Inter"/>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B3F2ABEE0AD1438CFF3CD7403F8EA6" ma:contentTypeVersion="18" ma:contentTypeDescription="Create a new document." ma:contentTypeScope="" ma:versionID="f641fda25d566e31140c1774ba0b6d2d">
  <xsd:schema xmlns:xsd="http://www.w3.org/2001/XMLSchema" xmlns:xs="http://www.w3.org/2001/XMLSchema" xmlns:p="http://schemas.microsoft.com/office/2006/metadata/properties" xmlns:ns2="ef39d48f-3d50-4944-bdfb-7f7a0fbc2626" xmlns:ns3="35d149ed-61d5-4b5d-8711-ef008dedbe26" xmlns:ns4="f80f4ed8-aeff-4c1a-ae03-cbaae7025f94" targetNamespace="http://schemas.microsoft.com/office/2006/metadata/properties" ma:root="true" ma:fieldsID="2d2a424ac647ebd91db569b266d596af" ns2:_="" ns3:_="" ns4:_="">
    <xsd:import namespace="ef39d48f-3d50-4944-bdfb-7f7a0fbc2626"/>
    <xsd:import namespace="35d149ed-61d5-4b5d-8711-ef008dedbe26"/>
    <xsd:import namespace="f80f4ed8-aeff-4c1a-ae03-cbaae7025f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9d48f-3d50-4944-bdfb-7f7a0fbc2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149ed-61d5-4b5d-8711-ef008dedb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f4ed8-aeff-4c1a-ae03-cbaae7025f9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d0862ba-b4e0-484d-b9ed-54a82b92362f}" ma:internalName="TaxCatchAll" ma:showField="CatchAllData" ma:web="f80f4ed8-aeff-4c1a-ae03-cbaae7025f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39d48f-3d50-4944-bdfb-7f7a0fbc2626">
      <Terms xmlns="http://schemas.microsoft.com/office/infopath/2007/PartnerControls"/>
    </lcf76f155ced4ddcb4097134ff3c332f>
    <TaxCatchAll xmlns="f80f4ed8-aeff-4c1a-ae03-cbaae7025f94"/>
  </documentManagement>
</p:properties>
</file>

<file path=customXml/itemProps1.xml><?xml version="1.0" encoding="utf-8"?>
<ds:datastoreItem xmlns:ds="http://schemas.openxmlformats.org/officeDocument/2006/customXml" ds:itemID="{BA446645-3F8D-4180-99E2-835F2C3E5CFC}">
  <ds:schemaRefs>
    <ds:schemaRef ds:uri="http://schemas.microsoft.com/sharepoint/v3/contenttype/forms"/>
  </ds:schemaRefs>
</ds:datastoreItem>
</file>

<file path=customXml/itemProps2.xml><?xml version="1.0" encoding="utf-8"?>
<ds:datastoreItem xmlns:ds="http://schemas.openxmlformats.org/officeDocument/2006/customXml" ds:itemID="{6478DFC7-AC98-443C-B074-62F8B94AD54A}">
  <ds:schemaRefs>
    <ds:schemaRef ds:uri="http://schemas.openxmlformats.org/officeDocument/2006/bibliography"/>
  </ds:schemaRefs>
</ds:datastoreItem>
</file>

<file path=customXml/itemProps3.xml><?xml version="1.0" encoding="utf-8"?>
<ds:datastoreItem xmlns:ds="http://schemas.openxmlformats.org/officeDocument/2006/customXml" ds:itemID="{0F8825D0-F195-4B9A-A220-B25AE6A51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9d48f-3d50-4944-bdfb-7f7a0fbc2626"/>
    <ds:schemaRef ds:uri="35d149ed-61d5-4b5d-8711-ef008dedbe26"/>
    <ds:schemaRef ds:uri="f80f4ed8-aeff-4c1a-ae03-cbaae7025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09DDF-6F29-4381-922F-37280C141B3E}">
  <ds:schemaRefs>
    <ds:schemaRef ds:uri="http://schemas.microsoft.com/office/2006/documentManagement/types"/>
    <ds:schemaRef ds:uri="http://purl.org/dc/terms/"/>
    <ds:schemaRef ds:uri="http://purl.org/dc/elements/1.1/"/>
    <ds:schemaRef ds:uri="ef39d48f-3d50-4944-bdfb-7f7a0fbc2626"/>
    <ds:schemaRef ds:uri="http://purl.org/dc/dcmitype/"/>
    <ds:schemaRef ds:uri="http://schemas.microsoft.com/office/2006/metadata/properties"/>
    <ds:schemaRef ds:uri="f80f4ed8-aeff-4c1a-ae03-cbaae7025f94"/>
    <ds:schemaRef ds:uri="http://schemas.microsoft.com/office/infopath/2007/PartnerControls"/>
    <ds:schemaRef ds:uri="http://schemas.openxmlformats.org/package/2006/metadata/core-properties"/>
    <ds:schemaRef ds:uri="35d149ed-61d5-4b5d-8711-ef008dedbe2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Policy_Guidance_Template_.dotx</Template>
  <TotalTime>0</TotalTime>
  <Pages>7</Pages>
  <Words>1381</Words>
  <Characters>7666</Characters>
  <Application>Microsoft Office Word</Application>
  <DocSecurity>0</DocSecurity>
  <Lines>201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Rowland</dc:creator>
  <cp:keywords/>
  <dc:description/>
  <cp:lastModifiedBy>Ellen Rowland</cp:lastModifiedBy>
  <cp:revision>2</cp:revision>
  <dcterms:created xsi:type="dcterms:W3CDTF">2026-03-24T17:22:00Z</dcterms:created>
  <dcterms:modified xsi:type="dcterms:W3CDTF">2026-03-24T17:22:00Z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0x01010054B3F2ABEE0AD1438CFF3CD7403F8EA6</vt:lpwstr>
  </property>
  <property fmtid="{D5CDD505-2E9C-101B-9397-08002B2CF9AE}" pid="3" name="MediaServiceImageTags">
    <vt:lpwstr/>
  </property>
  <property fmtid="{D5CDD505-2E9C-101B-9397-08002B2CF9AE}" pid="4" name="docLang">
    <vt:lpwstr>en</vt:lpwstr>
  </property>
</Properties>
</file>